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7"/>
        <w:jc w:val="center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Е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жемесячная доплата к пенсии </w:t>
      </w:r>
      <w:r>
        <w:rPr>
          <w:rFonts w:ascii="Tinos" w:hAnsi="Tinos" w:eastAsia="Tinos" w:cs="Tinos"/>
          <w:b/>
          <w:bCs/>
          <w:color w:val="000000"/>
          <w:sz w:val="28"/>
          <w:szCs w:val="28"/>
          <w:u w:val="single"/>
        </w:rPr>
        <w:t xml:space="preserve">инвалидам боевых действий и членам семей погибших (умерших) участников боевых действий</w:t>
      </w:r>
      <w:r>
        <w:rPr>
          <w:rFonts w:ascii="Tinos" w:hAnsi="Tinos" w:eastAsia="Tinos" w:cs="Tinos"/>
          <w:b/>
          <w:bCs/>
          <w:sz w:val="28"/>
          <w:szCs w:val="28"/>
          <w:u w:val="single"/>
        </w:rPr>
        <w:t xml:space="preserve"> 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а также лиц, погибших (умерших) при исполнении обязанностей военной службы</w:t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p>
      <w:pPr>
        <w:pStyle w:val="857"/>
        <w:jc w:val="center"/>
        <w:rPr>
          <w:rFonts w:ascii="Tinos" w:hAnsi="Tinos" w:cs="Tinos"/>
          <w:b/>
          <w:bCs/>
          <w:sz w:val="26"/>
          <w:szCs w:val="26"/>
          <w:highlight w:val="none"/>
        </w:rPr>
      </w:pPr>
      <w:r>
        <w:rPr>
          <w:rFonts w:ascii="Tinos" w:hAnsi="Tinos" w:cs="Tinos"/>
          <w:b/>
          <w:bCs/>
          <w:sz w:val="26"/>
          <w:szCs w:val="26"/>
          <w:highlight w:val="none"/>
        </w:rPr>
      </w:r>
      <w:r>
        <w:rPr>
          <w:rFonts w:ascii="Tinos" w:hAnsi="Tinos" w:cs="Tinos"/>
          <w:b/>
          <w:bCs/>
          <w:sz w:val="26"/>
          <w:szCs w:val="26"/>
          <w:highlight w:val="none"/>
        </w:rPr>
      </w:r>
      <w:r>
        <w:rPr>
          <w:rFonts w:ascii="Tinos" w:hAnsi="Tinos" w:cs="Tinos"/>
          <w:b/>
          <w:bCs/>
          <w:sz w:val="26"/>
          <w:szCs w:val="26"/>
          <w:highlight w:val="none"/>
        </w:rPr>
      </w:r>
    </w:p>
    <w:tbl>
      <w:tblPr>
        <w:tblStyle w:val="710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984"/>
        <w:gridCol w:w="8895"/>
      </w:tblGrid>
      <w:tr>
        <w:tblPrEx/>
        <w:trPr>
          <w:trHeight w:val="1325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Нормативные акты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b w:val="0"/>
                <w:bCs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</w:rPr>
              <w:t xml:space="preserve">Закон Самарской области от 05.03.2005 № 79-ГД «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</w:rPr>
              <w:t xml:space="preserve">О ежемесячной доплате к пенсии инвалидам боевых действий и членам семей погибших (умерших) участников боевых действий, а также лиц, погибших (умерших) при исполнении обязанностей военной службы (служебных обязанностей)»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b w:val="0"/>
                <w:bCs w:val="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6"/>
                <w:szCs w:val="26"/>
              </w:rPr>
              <w:t xml:space="preserve">      Приказ министерства социально-демографического развития Самарской области от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6"/>
                <w:szCs w:val="26"/>
              </w:rPr>
              <w:t xml:space="preserve">03.08.2012 N 247 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6"/>
                <w:szCs w:val="26"/>
              </w:rPr>
              <w:t xml:space="preserve">Об утверждении Административного регламента министерства социально-демографической и семейной политики Самарской области по предоставлению государственной услуги "Предоставление ежемесячной доплаты к пенсии членам семей погибших (умерших) участников боевых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6"/>
                <w:szCs w:val="26"/>
              </w:rPr>
              <w:t xml:space="preserve"> действий, а также лиц, погибших (умерших) при исполнении обязанностей военной службы (служебных обязанностей)»</w:t>
            </w:r>
            <w:r>
              <w:rPr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  <w:sz w:val="26"/>
                <w:szCs w:val="26"/>
              </w:rPr>
            </w:r>
          </w:p>
        </w:tc>
      </w:tr>
      <w:tr>
        <w:tblPrEx/>
        <w:trPr>
          <w:trHeight w:val="6651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Категории граждан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, имеющих право на доплату к пенсии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nos" w:hAnsi="Tinos" w:cs="Tinos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Д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оплата устанавливается следующим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лицам, проживающим на территории Самарской области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: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b/>
                <w:bCs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     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а) 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6"/>
                <w:szCs w:val="26"/>
                <w:u w:val="single"/>
              </w:rPr>
              <w:t xml:space="preserve">ветеранам боевых действий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(лицам, указанным в </w:t>
            </w:r>
            <w:hyperlink r:id="rId10" w:tooltip="https://docs.cntd.ru/document/9010197#65E0IS" w:history="1">
              <w:r>
                <w:rPr>
                  <w:rStyle w:val="836"/>
                  <w:rFonts w:ascii="Tinos" w:hAnsi="Tinos" w:eastAsia="Tinos" w:cs="Tinos"/>
                  <w:color w:val="000000" w:themeColor="text1"/>
                  <w:sz w:val="26"/>
                  <w:szCs w:val="26"/>
                  <w:u w:val="single"/>
                </w:rPr>
                <w:t xml:space="preserve">пункте 1 статьи 3 Федерального закона "О ветеранах"</w:t>
              </w:r>
            </w:hyperlink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) 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6"/>
                <w:szCs w:val="26"/>
              </w:rPr>
              <w:t xml:space="preserve">ставшим инвалидами вследствие военной травмы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</w:rPr>
              <w:t xml:space="preserve">в размере 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6"/>
                <w:szCs w:val="26"/>
              </w:rPr>
              <w:t xml:space="preserve">-2914 руб.;</w:t>
            </w:r>
            <w:r>
              <w:rPr>
                <w:rFonts w:ascii="Tinos" w:hAnsi="Tinos" w:cs="Tinos"/>
                <w:b/>
                <w:bCs/>
                <w:color w:val="000000" w:themeColor="text1"/>
                <w:sz w:val="26"/>
                <w:szCs w:val="26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        б) 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6"/>
                <w:szCs w:val="26"/>
                <w:u w:val="single"/>
              </w:rPr>
              <w:t xml:space="preserve">членам семьи, получающим пенсию по случаю потери кормильц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6"/>
                <w:szCs w:val="26"/>
              </w:rPr>
              <w:t xml:space="preserve">а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в соответствии с пенсионным законодательством Российской Федерации в размере -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6"/>
                <w:szCs w:val="26"/>
              </w:rPr>
              <w:t xml:space="preserve">1945 руб.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: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  <w:u w:val="single"/>
              </w:rPr>
              <w:t xml:space="preserve">умершего вследствие военной травмы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  <w:u w:val="single"/>
              </w:rPr>
              <w:t xml:space="preserve">после увольнения с военной службы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 лица,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принимавшего участие в боевых действиях в государствах (на территориях), указанных в разделе II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u w:val="none"/>
              </w:rPr>
              <w:t xml:space="preserve">I </w:t>
            </w:r>
            <w:hyperlink r:id="rId11" w:tooltip="https://docs.cntd.ru/document/9010197#8P80LV" w:history="1">
              <w:r>
                <w:rPr>
                  <w:rStyle w:val="836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приложения к Федеральному закону "О ветеранах"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(за исключением случаев, когда смерть наступила в результате его противоправных действий);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u w:val="single"/>
              </w:rPr>
              <w:t xml:space="preserve">погибшего (умершего) при исполнении обязанностей военной служб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(служебных обязанностей) лица, на которого распространяется действие </w:t>
            </w:r>
            <w:hyperlink r:id="rId12" w:tooltip="https://docs.cntd.ru/document/9003685#7D20K3" w:history="1">
              <w:r>
                <w:rPr>
                  <w:rStyle w:val="836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Закона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</w:t>
              </w:r>
              <w:r>
                <w:rPr>
                  <w:rStyle w:val="836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u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  <w:u w:val="none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  <w:u w:val="single"/>
              </w:rPr>
              <w:t xml:space="preserve">погибшего (умершего) в период прохождения военной службы по призыву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военнослужащего, на которого распространяется действие </w:t>
            </w:r>
            <w:hyperlink r:id="rId13" w:tooltip="https://docs.cntd.ru/document/901806803#7DS0KC" w:history="1">
              <w:r>
                <w:rPr>
                  <w:rStyle w:val="836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статьи 8 Федерального закона "О государственном пенсионном обеспечении в Российской Федерации"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u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cs="Tinos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Условия получения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</w:rPr>
              <w:t xml:space="preserve">Доплата устанавливается к пенсиям по инвалидности, за выслугу лет, по случаю потери кормильца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на срок назначения пенсии.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6"/>
                <w:szCs w:val="26"/>
                <w:u w:val="singl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  <w:u w:val="single"/>
              </w:rPr>
              <w:t xml:space="preserve">Выплата доплаты прекращается в случае:</w:t>
            </w:r>
            <w:r>
              <w:rPr>
                <w:rFonts w:ascii="Tinos" w:hAnsi="Tinos" w:cs="Tinos"/>
                <w:color w:val="000000"/>
                <w:sz w:val="26"/>
                <w:szCs w:val="26"/>
                <w:u w:val="single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  <w:u w:val="single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а) перехода на пенсию другого вида, к которой доплата не устанавливается;</w:t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б) непризнания лица инвалидом;</w:t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в) выезда на постоянное место жительства за пределы Самарской области;</w:t>
              <w:br/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г)назначения ежемесячного пожизненного содержания, </w:t>
            </w: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установления дополнительного пожизненного ежемесячного материального обеспечения, установления пенсии за выслугу лет федеральным государственным гражданским служащим, государственным гражданским служащим </w:t>
            </w: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субъектов Российской Федерации, муниципальным служащим в соответствии с законодательством Российской Федерации, законодательством субъектов Российской Федерации, нормативными правовыми актами органов местного самоуправления или ежемесячной доплаты к пенсии</w:t>
            </w: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 по иным основаниям (кроме случая установления дополнительного ежемесячного материального обеспечения гражданам Российской Федерации, признанным в установленном порядке инвалидами вследствие военной травмы, в соответствии с Указом Президента Российской Фед</w:t>
            </w: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ерации "О мерах по улучшению материального положения инвалидов вследствие военной травмы" или доплаты к пенсии в соответствии </w:t>
            </w:r>
            <w:r>
              <w:rPr>
                <w:rFonts w:ascii="Tinos" w:hAnsi="Tinos" w:eastAsia="Tinos" w:cs="Tinos"/>
                <w:color w:val="auto"/>
                <w:sz w:val="22"/>
                <w:szCs w:val="22"/>
                <w:u w:val="none"/>
              </w:rPr>
              <w:t xml:space="preserve">с </w:t>
            </w:r>
            <w:hyperlink r:id="rId14" w:tooltip="https://docs.cntd.ru/document/945005447#64U0IK" w:history="1">
              <w:r>
                <w:rPr>
                  <w:rStyle w:val="836"/>
                  <w:rFonts w:ascii="Tinos" w:hAnsi="Tinos" w:eastAsia="Tinos" w:cs="Tinos"/>
                  <w:color w:val="auto"/>
                  <w:sz w:val="22"/>
                  <w:szCs w:val="22"/>
                  <w:u w:val="none"/>
                </w:rPr>
                <w:t xml:space="preserve">Законом Самарской области "О ежемесячной доплате к пенсии лицам, имеющим особые заслуги перед Самарской областью"</w:t>
              </w:r>
            </w:hyperlink>
            <w:r>
              <w:rPr>
                <w:rFonts w:ascii="Tinos" w:hAnsi="Tinos" w:eastAsia="Tinos" w:cs="Tinos"/>
                <w:color w:val="auto"/>
                <w:sz w:val="22"/>
                <w:szCs w:val="22"/>
                <w:u w:val="none"/>
              </w:rPr>
              <w:t xml:space="preserve">);</w:t>
            </w: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br/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д) признания судом получателя доплаты безвестно отсутствующим или умершим;</w:t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е) смерти получателя доплаты.</w:t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495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Способ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left"/>
              <w:rPr>
                <w:rFonts w:ascii="Tinos" w:hAnsi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Лично, через МФЦ,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либо через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 социальный портал министерства</w:t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>
          <w:trHeight w:val="6276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Необходимые документы (сведения)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Сведения со знаком «*» заявитель предоставляет самостоятельно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при  представлении  заявления в электронной форме в течение 20  дней со дня регистрации  заявлени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я.</w:t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для инвалидов: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*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заявление;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-*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документ, удостоверяющий личность заявителя;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-*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документ (информация) об участии в боевых действиях;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-*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удостоверение инвалида о праве на льготы;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информация о назначенной пенсии.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для членов семей: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both"/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заявление;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-*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документ, удостоверяющий личность заявителя;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spacing w:line="276" w:lineRule="auto"/>
              <w:rPr>
                <w:rFonts w:ascii="Tinos" w:hAnsi="Tinos" w:cs="Tinos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-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справка (информация), подтверждающая гибель, смерть, признание без вести  пропавшим военнослужащего (сотрудника) при исполнении обязанностей  военной службы (служебных обязанностей), предоставляемая комиссариатом,  ГУВД, ГУФСИН, УФСБ (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может быть представлена заявителем самостоятельно);</w:t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информация о назначенной пенсии;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spacing w:line="240" w:lineRule="auto"/>
              <w:rPr>
                <w:rFonts w:ascii="Tinos" w:hAnsi="Tinos" w:cs="Tinos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-*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удостоверение о праве на льготы для членов семей погибших (умерших) лиц, принимавших участие в боевых действиях в государствах (на территориях), указанных в разделе III</w:t>
            </w:r>
            <w:r>
              <w:rPr>
                <w:rFonts w:ascii="Times New Roman" w:hAnsi="Times New Roman" w:eastAsia="Times New Roman" w:cs="Times New Roman"/>
                <w:color w:val="auto"/>
                <w:sz w:val="26"/>
                <w:szCs w:val="26"/>
                <w:u w:val="none"/>
              </w:rPr>
              <w:t xml:space="preserve"> </w:t>
            </w:r>
            <w:hyperlink r:id="rId15" w:tooltip="https://docs.cntd.ru/document/9010197#8P80LV" w:history="1">
              <w:r>
                <w:rPr>
                  <w:rStyle w:val="836"/>
                  <w:rFonts w:ascii="Times New Roman" w:hAnsi="Times New Roman" w:eastAsia="Times New Roman" w:cs="Times New Roman"/>
                  <w:color w:val="auto"/>
                  <w:sz w:val="26"/>
                  <w:szCs w:val="26"/>
                  <w:u w:val="none"/>
                </w:rPr>
                <w:t xml:space="preserve">приложения к Федеральному закону "О ветеранах"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6"/>
                <w:szCs w:val="26"/>
                <w:u w:val="none"/>
              </w:rPr>
              <w:t xml:space="preserve">.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</w:tc>
      </w:tr>
      <w:tr>
        <w:tblPrEx/>
        <w:trPr>
          <w:trHeight w:val="1043"/>
        </w:trPr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Способ получения выплаты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pStyle w:val="854"/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с учетом выбора гражданина: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на счет, открытый в кредитной организации, или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через отделения почтовой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связи по месту жительства  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  <w:t xml:space="preserve">Обращаться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Управление по м.р. Большеглушицкий ГКУ СО «ГУСЗН Южного округа»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по адресу: 4460180, Самарская область, Большеглушицкий район,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с. Большая Глушица, ул. Гагарина, д.27, каб.18, тел. 8(846 73)  2-22-61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</w:tbl>
    <w:p>
      <w:pPr>
        <w:jc w:val="left"/>
        <w:rPr>
          <w:rFonts w:ascii="Tinos" w:hAnsi="Tinos" w:cs="Tinos"/>
          <w:b w:val="0"/>
          <w:bCs w:val="0"/>
          <w:sz w:val="26"/>
          <w:szCs w:val="26"/>
        </w:rPr>
      </w:pPr>
      <w:r>
        <w:rPr>
          <w:rFonts w:ascii="Tinos" w:hAnsi="Tinos" w:eastAsia="Tinos" w:cs="Tinos"/>
          <w:b w:val="0"/>
          <w:bCs w:val="0"/>
          <w:sz w:val="26"/>
          <w:szCs w:val="26"/>
          <w:highlight w:val="none"/>
        </w:rPr>
      </w: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cs="Tinos"/>
          <w:b w:val="0"/>
          <w:bCs w:val="0"/>
          <w:sz w:val="26"/>
          <w:szCs w:val="26"/>
        </w:rPr>
      </w:r>
    </w:p>
    <w:sectPr>
      <w:footerReference w:type="default" r:id="rId9"/>
      <w:footnotePr/>
      <w:endnotePr/>
      <w:type w:val="nextPage"/>
      <w:pgSz w:w="11906" w:h="16838" w:orient="portrait"/>
      <w:pgMar w:top="425" w:right="850" w:bottom="283" w:left="992" w:header="709" w:footer="5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4"/>
    <w:next w:val="854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4"/>
    <w:next w:val="854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4"/>
    <w:next w:val="854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link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basedOn w:val="8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0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4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5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7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1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paragraph" w:styleId="857">
    <w:name w:val="No Spacing"/>
    <w:basedOn w:val="854"/>
    <w:uiPriority w:val="1"/>
    <w:qFormat/>
    <w:pPr>
      <w:spacing w:after="0" w:line="240" w:lineRule="auto"/>
    </w:pPr>
  </w:style>
  <w:style w:type="paragraph" w:styleId="858">
    <w:name w:val="List Paragraph"/>
    <w:basedOn w:val="854"/>
    <w:uiPriority w:val="34"/>
    <w:qFormat/>
    <w:pPr>
      <w:contextualSpacing/>
      <w:ind w:left="720"/>
    </w:pPr>
  </w:style>
  <w:style w:type="character" w:styleId="859" w:default="1">
    <w:name w:val="Default Paragraph Font"/>
    <w:uiPriority w:val="1"/>
    <w:semiHidden/>
    <w:unhideWhenUsed/>
  </w:style>
  <w:style w:type="paragraph" w:styleId="86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docs.cntd.ru/document/9010197#65E0IS" TargetMode="External"/><Relationship Id="rId11" Type="http://schemas.openxmlformats.org/officeDocument/2006/relationships/hyperlink" Target="https://docs.cntd.ru/document/9010197#8P80LV" TargetMode="External"/><Relationship Id="rId12" Type="http://schemas.openxmlformats.org/officeDocument/2006/relationships/hyperlink" Target="https://docs.cntd.ru/document/9003685#7D20K3" TargetMode="External"/><Relationship Id="rId13" Type="http://schemas.openxmlformats.org/officeDocument/2006/relationships/hyperlink" Target="https://docs.cntd.ru/document/901806803#7DS0KC" TargetMode="External"/><Relationship Id="rId14" Type="http://schemas.openxmlformats.org/officeDocument/2006/relationships/hyperlink" Target="https://docs.cntd.ru/document/945005447#64U0IK" TargetMode="External"/><Relationship Id="rId15" Type="http://schemas.openxmlformats.org/officeDocument/2006/relationships/hyperlink" Target="https://docs.cntd.ru/document/9010197#8P80LV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expert</cp:lastModifiedBy>
  <cp:revision>16</cp:revision>
  <dcterms:modified xsi:type="dcterms:W3CDTF">2026-02-03T12:01:19Z</dcterms:modified>
</cp:coreProperties>
</file>