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nos" w:hAnsi="Tinos" w:eastAsia="Tinos" w:cs="Tinos"/>
          <w:b/>
          <w:bCs/>
          <w:sz w:val="32"/>
          <w:szCs w:val="32"/>
        </w:rPr>
      </w:pPr>
      <w:r>
        <w:rPr>
          <w:rFonts w:ascii="Tinos" w:hAnsi="Tinos" w:eastAsia="Tinos" w:cs="Tinos"/>
          <w:b/>
          <w:bCs/>
          <w:sz w:val="32"/>
          <w:szCs w:val="32"/>
        </w:rPr>
        <w:t xml:space="preserve"> Предоставление с</w:t>
      </w:r>
      <w:r>
        <w:rPr>
          <w:rFonts w:ascii="Tinos" w:hAnsi="Tinos" w:eastAsia="Tinos" w:cs="Tinos"/>
          <w:b/>
          <w:sz w:val="32"/>
          <w:szCs w:val="32"/>
        </w:rPr>
        <w:t xml:space="preserve">убсидии на оплату жилого помещения и </w:t>
      </w:r>
      <w:r>
        <w:rPr>
          <w:rFonts w:ascii="Tinos" w:hAnsi="Tinos" w:eastAsia="Tinos" w:cs="Tinos"/>
          <w:b/>
          <w:bCs/>
          <w:sz w:val="32"/>
          <w:szCs w:val="32"/>
        </w:rPr>
      </w:r>
      <w:r>
        <w:rPr>
          <w:rFonts w:ascii="Tinos" w:hAnsi="Tinos" w:eastAsia="Tinos" w:cs="Tinos"/>
          <w:b/>
          <w:bCs/>
          <w:sz w:val="32"/>
          <w:szCs w:val="32"/>
        </w:rPr>
      </w:r>
    </w:p>
    <w:p>
      <w:pPr>
        <w:pStyle w:val="857"/>
        <w:jc w:val="center"/>
        <w:rPr>
          <w:rFonts w:ascii="Tinos" w:hAnsi="Tinos" w:cs="Tinos"/>
          <w:b/>
          <w:bCs/>
          <w:sz w:val="32"/>
          <w:szCs w:val="32"/>
        </w:rPr>
      </w:pPr>
      <w:r>
        <w:rPr>
          <w:rFonts w:ascii="Tinos" w:hAnsi="Tinos" w:eastAsia="Tinos" w:cs="Tinos"/>
          <w:b/>
          <w:sz w:val="32"/>
          <w:szCs w:val="32"/>
        </w:rPr>
        <w:t xml:space="preserve">коммунальных услуг </w:t>
      </w:r>
      <w:r>
        <w:rPr>
          <w:rFonts w:ascii="Tinos" w:hAnsi="Tinos" w:cs="Tinos"/>
          <w:b/>
          <w:bCs/>
          <w:sz w:val="32"/>
          <w:szCs w:val="32"/>
        </w:rPr>
      </w:r>
      <w:r>
        <w:rPr>
          <w:rFonts w:ascii="Tinos" w:hAnsi="Tinos" w:cs="Tinos"/>
          <w:b/>
          <w:bCs/>
          <w:sz w:val="32"/>
          <w:szCs w:val="32"/>
        </w:rPr>
      </w:r>
    </w:p>
    <w:p>
      <w:pPr>
        <w:pStyle w:val="857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Постановление Правительства РФ от 14.12.2005 № 761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«О предоставлении субсидий  на оплату жилого помещения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коммунальных услуг» (далее – постановление №761);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Приказ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министерства социально-демографической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и семейной политики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от 25.12.2012 N 756 «Об утверждении Административного регламента по предоставлению государственной услуги "Предоставление субсидий на оплату жилого помещения и коммунал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ьных услуг»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u w:val="none"/>
              </w:rPr>
              <w:t xml:space="preserve">Категории граждан,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имеющие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право на получение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none"/>
                <w:lang w:eastAsia="ru-RU"/>
              </w:rPr>
              <w:t xml:space="preserve">субсидии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</w:rPr>
            </w:pPr>
            <w:r>
              <w:rPr>
                <w:rFonts w:ascii="Tinos" w:hAnsi="Tinos" w:eastAsia="Tinos" w:cs="Tinos"/>
                <w:sz w:val="32"/>
                <w:szCs w:val="32"/>
              </w:rPr>
              <w:t xml:space="preserve">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а)пользователи жилого помещения в государственном или муниципальном жилищном фонде;</w:t>
            </w:r>
            <w:r>
              <w:rPr>
                <w:rFonts w:ascii="Tinos" w:hAnsi="Tinos" w:cs="Tinos"/>
                <w:sz w:val="32"/>
                <w:szCs w:val="32"/>
              </w:rPr>
            </w:r>
            <w:r>
              <w:rPr>
                <w:rFonts w:ascii="Tinos" w:hAnsi="Tinos" w:cs="Tinos"/>
                <w:sz w:val="32"/>
                <w:szCs w:val="32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б) наниматели жилого помещения по договору найма в частном жилищном фонде;</w:t>
            </w:r>
            <w:r>
              <w:rPr>
                <w:rFonts w:ascii="Tinos" w:hAnsi="Tinos" w:cs="Tinos"/>
                <w:sz w:val="32"/>
                <w:szCs w:val="32"/>
              </w:rPr>
            </w:r>
            <w:r>
              <w:rPr>
                <w:rFonts w:ascii="Tinos" w:hAnsi="Tinos" w:cs="Tinos"/>
                <w:sz w:val="32"/>
                <w:szCs w:val="32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в) члены жилищно-строительного кооператива; </w:t>
            </w:r>
            <w:r>
              <w:rPr>
                <w:rFonts w:ascii="Tinos" w:hAnsi="Tinos" w:cs="Tinos"/>
                <w:sz w:val="32"/>
                <w:szCs w:val="32"/>
              </w:rPr>
            </w:r>
            <w:r>
              <w:rPr>
                <w:rFonts w:ascii="Tinos" w:hAnsi="Tinos" w:cs="Tinos"/>
                <w:sz w:val="32"/>
                <w:szCs w:val="32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г) собственники жилого помещения (квартиры, жилого дома, части квартиры или части жилого дома).</w:t>
            </w:r>
            <w:r>
              <w:rPr>
                <w:rFonts w:ascii="Tinos" w:hAnsi="Tinos" w:cs="Tinos"/>
                <w:sz w:val="32"/>
                <w:szCs w:val="32"/>
              </w:rPr>
            </w:r>
            <w:r>
              <w:rPr>
                <w:rFonts w:ascii="Tinos" w:hAnsi="Tinos" w:cs="Tinos"/>
                <w:sz w:val="32"/>
                <w:szCs w:val="32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Субсидия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предоставляется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граждан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ам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 учетом постоянно проживающих с ними членов их семей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sz w:val="32"/>
                <w:szCs w:val="32"/>
              </w:rPr>
            </w:r>
            <w:r>
              <w:rPr>
                <w:rFonts w:ascii="Tinos" w:hAnsi="Tinos" w:cs="Tinos"/>
                <w:sz w:val="32"/>
                <w:szCs w:val="32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субсидии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ind w:firstLine="547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Субсидия назначается гражданам в случае, если их расходы на оплату жилого помещения и коммунальных услуг,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рассчитанные исходя из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региональных стандартов нормативной площади жилого помещения 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регионального стандарта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стоимости ЖКУ,</w:t>
            </w: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 превышают величину </w:t>
            </w: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регионального стандарта </w:t>
            </w:r>
            <w:r>
              <w:rPr>
                <w:rFonts w:ascii="Tinos" w:hAnsi="Tinos" w:eastAsia="Tinos" w:cs="Tinos"/>
                <w:b/>
                <w:sz w:val="26"/>
                <w:szCs w:val="26"/>
              </w:rPr>
              <w:t xml:space="preserve">максимально допустимой доли расходов граждан на оплату ЖКУ в совокупном доходе семьи.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ind w:firstLine="547"/>
              <w:jc w:val="both"/>
              <w:spacing w:after="0" w:line="240" w:lineRule="auto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Совокупный доход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семьи или одиноко проживающего гражданина определяется </w:t>
            </w:r>
            <w:r>
              <w:rPr>
                <w:rFonts w:ascii="Tinos" w:hAnsi="Tinos" w:eastAsia="Tinos" w:cs="Tinos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за  6 календарных месяцев, предшествовавших месяцу перед месяцем подачи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заявления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о предоставлении субсидии.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pStyle w:val="854"/>
              <w:ind w:firstLine="547"/>
              <w:jc w:val="both"/>
              <w:spacing w:after="0" w:line="240" w:lineRule="auto"/>
              <w:rPr>
                <w:rFonts w:ascii="Tinos" w:hAnsi="Tinos" w:cs="Tinos"/>
                <w:color w:val="000000"/>
                <w:sz w:val="32"/>
                <w:szCs w:val="32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Субсидия не предос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тавляется гражданам при наличии у них подтвержденной вступившим в законную силу судебным актом непогашенной задолженности по оплате ЖКУ образовавшейся за период не более чем три последних года. Данные сведения Управление получает самостоятельно из ГИС ЖКХ.</w:t>
            </w:r>
            <w:r>
              <w:rPr>
                <w:rFonts w:ascii="Tinos" w:hAnsi="Tinos" w:cs="Tinos"/>
                <w:color w:val="000000"/>
                <w:sz w:val="32"/>
                <w:szCs w:val="32"/>
              </w:rPr>
            </w:r>
            <w:r>
              <w:rPr>
                <w:rFonts w:ascii="Tinos" w:hAnsi="Tinos" w:cs="Tinos"/>
                <w:color w:val="000000"/>
                <w:sz w:val="32"/>
                <w:szCs w:val="32"/>
              </w:rPr>
            </w:r>
          </w:p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32"/>
                <w:szCs w:val="32"/>
                <w:highlight w:val="none"/>
              </w:rPr>
            </w:pPr>
            <w:r>
              <w:rPr>
                <w:rFonts w:ascii="Tinos" w:hAnsi="Tinos" w:eastAsia="Tinos" w:cs="Tinos"/>
                <w:b/>
                <w:color w:val="0000ff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Назначение субсидий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производится с учетом имеющей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компенсации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расходов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по оплате жилого помещения и коммунальных услуг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sz w:val="32"/>
                <w:szCs w:val="32"/>
                <w:highlight w:val="none"/>
              </w:rPr>
            </w:r>
            <w:r>
              <w:rPr>
                <w:rFonts w:ascii="Tinos" w:hAnsi="Tinos" w:cs="Tinos"/>
                <w:sz w:val="32"/>
                <w:szCs w:val="32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Субсидия предоставляется сроком на 6 месяцев.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При подаче заявления о предоставлении субсидии и полного комплекта документов, обязанность по представлению которых возложена на заявителя 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none"/>
              </w:rPr>
              <w:t xml:space="preserve">П</w:t>
            </w:r>
            <w:hyperlink r:id="rId10" w:tooltip="https://docs.cntd.ru/document/901960158#8Q40M6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none"/>
                </w:rPr>
                <w:t xml:space="preserve">еречнем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(в зависимости от сложившейся жизненной ситуации), с 1-го по 15-е число месяца субсидия предоставляется с 1-го числа текущего месяца, а при подаче заявления   и представлении документов (сведений) с 16-го числа до конца месяца - с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1-го числа следующего месяца.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 календарных дней со дня регистрации электронного заявления </w:t>
            </w:r>
            <w:r>
              <w:rPr>
                <w:rFonts w:ascii="Tinos" w:hAnsi="Tinos" w:cs="Tinos"/>
                <w:b w:val="0"/>
                <w:b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32"/>
                <w:szCs w:val="32"/>
                <w:u w:val="none"/>
                <w:shd w:val="clear" w:color="auto" w:fill="ffffff"/>
              </w:rPr>
              <w:t xml:space="preserve">Д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  <w:shd w:val="clear" w:color="auto" w:fill="ffffff"/>
              </w:rPr>
              <w:t xml:space="preserve">л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  <w:shd w:val="clear" w:color="auto" w:fill="ffffff"/>
              </w:rPr>
              <w:t xml:space="preserve">я получения субсидии граждане  представляют в Управление  по месту постоянного жительства 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  <w:shd w:val="clear" w:color="auto" w:fill="ffffff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  <w:shd w:val="clear" w:color="auto" w:fill="ffffff"/>
              </w:rPr>
              <w:t xml:space="preserve">заявление   с указанием всех членов семьи и степени родства и приложением  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  <w:shd w:val="clear" w:color="auto" w:fill="ffffff"/>
              </w:rPr>
              <w:t xml:space="preserve">основных   документов: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32"/>
                <w:szCs w:val="32"/>
                <w:u w:val="none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32"/>
                <w:szCs w:val="32"/>
                <w:u w:val="none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 *-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 xml:space="preserve"> с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ведения о суммах, начисленных получателю субсидии для оплаты за жилое  помещение и коммунальные услуги, и сведения о суммах, уплаченных  получателем субсидии за жилое помещение и коммунальные услуги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u w:val="none"/>
              </w:rPr>
              <w:t xml:space="preserve">;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 *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- с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ведения о государственной регистрации рождения, смерти, заключения (расторжения) брака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в случае регистрации записи соответствующего акта компетентным органом иностранного государства;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singl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highlight w:val="none"/>
                <w:u w:val="singl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    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 *-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  <w:highlight w:val="none"/>
                <w:u w:val="none"/>
              </w:rPr>
              <w:t xml:space="preserve">  с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  <w:u w:val="none"/>
              </w:rPr>
              <w:t xml:space="preserve">ведения об отдельных видах доходов 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</w:rPr>
              <w:t xml:space="preserve"> заявителя и членов его семьи</w:t>
            </w:r>
            <w:r>
              <w:rPr>
                <w:rFonts w:ascii="Tinos" w:hAnsi="Tinos" w:eastAsia="Tinos" w:cs="Tinos"/>
                <w:b w:val="0"/>
                <w:bCs w:val="0"/>
                <w:spacing w:val="2"/>
                <w:sz w:val="26"/>
                <w:szCs w:val="26"/>
              </w:rPr>
              <w:t xml:space="preserve">, учитываемых при решении вопроса о предоставлении субсидии, согласно Перечню (по постановлению № 761 в зависимости от сложившейся жизненной ситуации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-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 стипендии, алиментов, доходов военнослужащих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 и др.)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u w:val="singl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2"/>
                <w:sz w:val="32"/>
                <w:szCs w:val="32"/>
                <w:u w:val="single"/>
              </w:rPr>
            </w:r>
          </w:p>
          <w:p>
            <w:pPr>
              <w:pStyle w:val="863"/>
              <w:ind w:firstLine="708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spacing w:val="2"/>
                <w:sz w:val="32"/>
                <w:szCs w:val="32"/>
              </w:rPr>
            </w:pP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  <w:u w:val="none"/>
              </w:rPr>
              <w:t xml:space="preserve">*-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u w:val="none"/>
              </w:rPr>
              <w:t xml:space="preserve">сведения о документах, подтверждающих правовые основания владения и пользования заявителем жилым помещением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  <w:u w:val="none"/>
              </w:rPr>
              <w:t xml:space="preserve">,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 в котором он зарегистрирова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жилищного,жилищно-строительного кооператива;</w:t>
            </w:r>
            <w:r>
              <w:rPr>
                <w:rFonts w:ascii="Tinos" w:hAnsi="Tinos" w:cs="Tinos"/>
                <w:spacing w:val="2"/>
                <w:sz w:val="32"/>
                <w:szCs w:val="32"/>
              </w:rPr>
            </w:r>
            <w:r>
              <w:rPr>
                <w:rFonts w:ascii="Tinos" w:hAnsi="Tinos" w:cs="Tinos"/>
                <w:spacing w:val="2"/>
                <w:sz w:val="32"/>
                <w:szCs w:val="32"/>
              </w:rPr>
            </w:r>
          </w:p>
          <w:p>
            <w:pPr>
              <w:pStyle w:val="682"/>
              <w:ind w:left="0" w:right="0" w:firstLine="480"/>
              <w:jc w:val="both"/>
              <w:spacing w:before="0" w:after="240" w:line="240" w:lineRule="auto"/>
              <w:shd w:val="clear" w:color="ffffff" w:fill="ffffff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*-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гражданином: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Гипертекстовая ссылка"/>
    <w:basedOn w:val="834"/>
    <w:next w:val="839"/>
    <w:link w:val="832"/>
    <w:rPr>
      <w:rFonts w:cs="Times New Roman"/>
      <w:color w:val="106bbe"/>
    </w:rPr>
  </w:style>
  <w:style w:type="paragraph" w:styleId="862" w:customStyle="1">
    <w:name w:val="Заголовок 3"/>
    <w:basedOn w:val="832"/>
    <w:next w:val="833"/>
    <w:link w:val="832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formattext topleveltext"/>
    <w:basedOn w:val="832"/>
    <w:next w:val="842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01960158#8Q40M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2026-02-03T12:09:22Z</dcterms:modified>
</cp:coreProperties>
</file>