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Оказание 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государственной социальной помощи на основании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63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социального контракта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863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2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842"/>
        <w:gridCol w:w="9037"/>
      </w:tblGrid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pStyle w:val="863"/>
              <w:ind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  <w:t xml:space="preserve">Постановл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  <w:t xml:space="preserve">ние Правительства РФ от 16.11.2023 № 1931 «Об оказании субъектам РФ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ФЗ «О государственной социальной помощи»;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 Закон Самарской области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от 06.05.2000 г. №16-ГД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«О социальной помощи в Сама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р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ской области»;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63"/>
              <w:ind w:firstLine="36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Приказ министерства гуманитарного и социального развития Самарской области от 31.01.2006 № 7 «Об оказании социальной помощи малоимущим семьям и малоимущим одиноко проживающим гражданам Самарской области»;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63"/>
              <w:ind w:firstLine="36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Приказ министерства социально-демографической и семейной политики Самарской области от 22.07.2024 № 517 «Об утверждении Административного регламента «Оказание государственной социальной помощи на основании социального контракта» 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Общие условия получения СК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pStyle w:val="856"/>
              <w:contextualSpacing/>
              <w:ind w:firstLine="0"/>
              <w:jc w:val="both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white"/>
              </w:rPr>
              <w:t xml:space="preserve">      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Право на государственную социальную помощь на основании СК возникает в случае, если размер среднедушевого дохода  малоимущей семьи, дохода малоимущего одиноко проживающего гражданина 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по независящим от них причинам ниже величины прожиточного минимума на душу населения, установленного в Самарской области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17803руб.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В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состав семьи  при расчете среднедушевого дохода семьи, включаются заявитель, его суп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уг (супруга), его несовершеннолетние дети, 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шего образования по очной форме обучения (за исключением обучающихся по дополнительным образовательным программам).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63"/>
              <w:jc w:val="center"/>
              <w:spacing w:line="240" w:lineRule="auto"/>
              <w:rPr>
                <w:rFonts w:ascii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 Категории получателей:</w:t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  <w:p>
            <w:pPr>
              <w:pStyle w:val="863"/>
              <w:jc w:val="both"/>
              <w:spacing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     -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семьи с детьм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3"/>
              <w:jc w:val="both"/>
              <w:spacing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семьи с неработающими пенс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ионерами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инвалидами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лицами предпенсионного возраста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3"/>
              <w:jc w:val="both"/>
              <w:spacing w:line="240" w:lineRule="auto"/>
              <w:rPr>
                <w:rFonts w:ascii="Tinos" w:hAnsi="Tinos" w:cs="Tinos"/>
                <w:color w:val="ff0000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одиноко проживающие пенсионеры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инвалиды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и лица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предпенсион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ного в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озраст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color w:val="ff0000"/>
                <w:sz w:val="24"/>
                <w:szCs w:val="24"/>
              </w:rPr>
            </w:r>
            <w:r>
              <w:rPr>
                <w:rFonts w:ascii="Tinos" w:hAnsi="Tinos" w:cs="Tinos"/>
                <w:color w:val="ff0000"/>
                <w:sz w:val="24"/>
                <w:szCs w:val="24"/>
              </w:rPr>
            </w:r>
          </w:p>
          <w:p>
            <w:pPr>
              <w:pStyle w:val="863"/>
              <w:jc w:val="both"/>
              <w:spacing w:line="240" w:lineRule="auto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-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тр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удоспособные граждане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.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   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 приоритетном порядке социальный контрак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т заключается с многодетными семьями,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 семьями с детьми и с участниками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с членами их семей.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9"/>
              <w:jc w:val="both"/>
              <w:rPr>
                <w:rFonts w:ascii="Tinos" w:hAnsi="Tinos" w:cs="Tinos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Социальный контракт с одним и тем же гражданином (с одной и той же семьей) вне зависимости от выбранного мероприятия заключается не ранее чем со дня окончания мониторинга условий жизни семьи (одиноко прож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ивающего гражданина) по завершении ранее заключенного социального контракта.</w:t>
            </w:r>
            <w:r>
              <w:rPr>
                <w:rFonts w:ascii="Tinos" w:hAnsi="Tinos" w:cs="Tinos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  <w:u w:val="none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rFonts w:ascii="Tinos" w:hAnsi="Tinos" w:cs="Tinos"/>
                <w:b/>
                <w:bCs/>
                <w:i/>
                <w:iCs/>
                <w:sz w:val="24"/>
                <w:szCs w:val="24"/>
                <w:highlight w:val="none"/>
                <w:u w:val="none"/>
              </w:rPr>
            </w:pPr>
            <w:r>
              <w:rPr>
                <w:rFonts w:ascii="Tinos" w:hAnsi="Tinos" w:eastAsia="Tinos" w:cs="Tinos"/>
                <w:i/>
                <w:iCs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i/>
                <w:iCs/>
                <w:sz w:val="24"/>
                <w:szCs w:val="24"/>
                <w:u w:val="none"/>
              </w:rPr>
              <w:t xml:space="preserve">СК может быть заключен на выполнение одного из мероприятий:</w:t>
            </w:r>
            <w:r>
              <w:rPr>
                <w:rFonts w:ascii="Tinos" w:hAnsi="Tinos" w:cs="Tinos"/>
                <w:b/>
                <w:bCs/>
                <w:i/>
                <w:iCs/>
                <w:sz w:val="24"/>
                <w:szCs w:val="24"/>
                <w:highlight w:val="none"/>
                <w:u w:val="none"/>
              </w:rPr>
            </w:r>
            <w:r>
              <w:rPr>
                <w:rFonts w:ascii="Tinos" w:hAnsi="Tinos" w:cs="Tinos"/>
                <w:b/>
                <w:bCs/>
                <w:i/>
                <w:iCs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СК на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Поиск работы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pStyle w:val="864"/>
              <w:jc w:val="center"/>
              <w:spacing w:before="0" w:beforeAutospacing="0" w:after="0" w:afterAutospacing="0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 xml:space="preserve">Поиск работы</w:t>
            </w:r>
            <w:r>
              <w:rPr>
                <w:b/>
                <w:bCs/>
                <w:color w:val="000000"/>
                <w:highlight w:val="none"/>
                <w:u w:val="none"/>
              </w:rPr>
            </w:r>
            <w:r>
              <w:rPr>
                <w:b/>
                <w:bCs/>
                <w:color w:val="000000"/>
                <w:highlight w:val="none"/>
                <w:u w:val="none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color w:val="000000"/>
                <w:highlight w:val="none"/>
                <w:u w:val="single"/>
              </w:rPr>
            </w:pPr>
            <w:r>
              <w:rPr>
                <w:color w:val="000000"/>
                <w:u w:val="single"/>
              </w:rPr>
              <w:t xml:space="preserve">Размер выплаты:</w:t>
            </w:r>
            <w:r>
              <w:rPr>
                <w:color w:val="000000"/>
                <w:highlight w:val="none"/>
                <w:u w:val="single"/>
              </w:rPr>
            </w:r>
            <w:r>
              <w:rPr>
                <w:color w:val="000000"/>
                <w:highlight w:val="none"/>
                <w:u w:val="single"/>
              </w:rPr>
            </w:r>
          </w:p>
          <w:p>
            <w:pPr>
              <w:pStyle w:val="864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19405 руб.единовременно при заключении СК</w:t>
            </w:r>
            <w:r>
              <w:rPr>
                <w:color w:val="000000"/>
              </w:rPr>
              <w:t xml:space="preserve">;</w:t>
            </w:r>
            <w:r/>
          </w:p>
          <w:p>
            <w:pPr>
              <w:pStyle w:val="864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19405 руб. ежемесячно</w:t>
            </w:r>
            <w:r>
              <w:rPr>
                <w:color w:val="000000"/>
              </w:rPr>
              <w:t xml:space="preserve">  (не более 3-х месяцев), при подтверждении факта</w:t>
            </w:r>
            <w:r>
              <w:rPr>
                <w:color w:val="000000"/>
              </w:rPr>
              <w:t xml:space="preserve"> трудоустройства;</w:t>
            </w:r>
            <w:r>
              <w:rPr>
                <w:color w:val="000000"/>
              </w:rPr>
              <w:t xml:space="preserve">  </w:t>
            </w:r>
            <w:r/>
          </w:p>
          <w:p>
            <w:pPr>
              <w:pStyle w:val="864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о 30 000 руб.  единовременно на обучение;</w:t>
            </w:r>
            <w:r/>
          </w:p>
          <w:p>
            <w:pPr>
              <w:pStyle w:val="864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</w:rPr>
              <w:t xml:space="preserve">9702,50 руб.на период обучения (</w:t>
            </w:r>
            <w:r>
              <w:rPr>
                <w:color w:val="000000"/>
                <w:sz w:val="20"/>
                <w:szCs w:val="20"/>
              </w:rPr>
              <w:t xml:space="preserve">не более 3 мес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-180" w:firstLine="180"/>
              <w:jc w:val="center"/>
              <w:spacing w:after="0" w:line="240" w:lineRule="auto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Условия: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num" w:pos="426" w:leader="none"/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* Постановка на учет в органах занятости населения в кач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естве безработного или ищущего работу.</w:t>
            </w:r>
            <w:r/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* Регистрация в единой цифровой платформе  «Работа в Рос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сии»</w:t>
            </w:r>
            <w:r>
              <w:t xml:space="preserve">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* Осуществлять трудовую деятельность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период  действия СК и не менее чем в течение 12 мес. со дня окончания срока действия СК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 .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highlight w:val="none"/>
              </w:rPr>
              <w:t xml:space="preserve">*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Предоставлять документы (сведения), необходимые для контроля за выполнением обязательств по СК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3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5"/>
                <w:szCs w:val="25"/>
                <w:highlight w:val="none"/>
              </w:rPr>
              <w:t xml:space="preserve">            </w:t>
            </w:r>
            <w:r>
              <w:rPr>
                <w:rFonts w:ascii="Tinos" w:hAnsi="Tinos" w:eastAsia="Tinos" w:cs="Tinos"/>
                <w:sz w:val="25"/>
                <w:szCs w:val="25"/>
                <w:highlight w:val="none"/>
              </w:rPr>
              <w:t xml:space="preserve">В случае не трудоустройства в течение срока действия социального контракта гражданин обязан </w:t>
            </w:r>
            <w:r>
              <w:rPr>
                <w:rFonts w:ascii="Tinos" w:hAnsi="Tinos" w:eastAsia="Tinos" w:cs="Tinos"/>
                <w:sz w:val="25"/>
                <w:szCs w:val="25"/>
              </w:rPr>
              <w:t xml:space="preserve">возвратить</w:t>
            </w:r>
            <w:r>
              <w:rPr>
                <w:rFonts w:ascii="Tinos" w:hAnsi="Tinos" w:eastAsia="Tinos" w:cs="Tinos"/>
                <w:sz w:val="25"/>
                <w:szCs w:val="25"/>
              </w:rPr>
              <w:t xml:space="preserve">  полученную </w:t>
            </w:r>
            <w:r>
              <w:rPr>
                <w:rFonts w:ascii="Tinos" w:hAnsi="Tinos" w:eastAsia="Tinos" w:cs="Tinos"/>
                <w:sz w:val="25"/>
                <w:szCs w:val="25"/>
                <w:u w:val="single"/>
              </w:rPr>
              <w:t xml:space="preserve">единовременную </w:t>
            </w:r>
            <w:r>
              <w:rPr>
                <w:rFonts w:ascii="Tinos" w:hAnsi="Tinos" w:eastAsia="Tinos" w:cs="Tinos"/>
                <w:sz w:val="25"/>
                <w:szCs w:val="25"/>
              </w:rPr>
              <w:t xml:space="preserve"> выплату (19405 руб.).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СК на ИП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pStyle w:val="864"/>
              <w:ind w:left="0" w:firstLine="0"/>
              <w:jc w:val="center"/>
              <w:spacing w:before="0" w:beforeAutospacing="0" w:after="0" w:afterAutospacing="0"/>
              <w:rPr>
                <w:b/>
                <w:bCs/>
                <w:i/>
                <w:sz w:val="26"/>
                <w:szCs w:val="26"/>
                <w:highlight w:val="none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ИП-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осуществление индивидуальной 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предпринимательской де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ятельности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bCs/>
                <w:i/>
                <w:sz w:val="26"/>
                <w:szCs w:val="26"/>
                <w:highlight w:val="none"/>
              </w:rPr>
            </w:r>
            <w:r>
              <w:rPr>
                <w:b/>
                <w:bCs/>
                <w:i/>
                <w:sz w:val="26"/>
                <w:szCs w:val="26"/>
                <w:highlight w:val="none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 xml:space="preserve">Размер выплаты:</w:t>
            </w:r>
            <w:r/>
          </w:p>
          <w:p>
            <w:pPr>
              <w:pStyle w:val="864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Не более 350000 руб. единовременно. </w:t>
            </w:r>
            <w:r>
              <w:rPr>
                <w:color w:val="000000"/>
              </w:rPr>
              <w:t xml:space="preserve">До 30 000 руб. единовременно на обучение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СК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заключается не более чем на 12 месяцев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Условия: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suppressLineNumbers w:val="0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*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Регистрация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качестве ИП или самозанятого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/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suppressLineNumbers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 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аличие бизнес-плана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* Прохождение тестирования для определения уровня предпринимательских компетенций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* Приобрести основные средства и материальные запасы, необходимые для осуществления ИП деятельности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*  Осуществлять  ИП деятельность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период срока действия СК и не менее чем в течение 12 месяцев со дня окончания срока действия СК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 .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 *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  Предоставлять документы (сведения), необходимые для контроля за выполнением обязательств по СК</w:t>
            </w:r>
            <w:r>
              <w:rPr>
                <w:rFonts w:ascii="Tinos" w:hAnsi="Tinos" w:cs="Tinos"/>
                <w:sz w:val="24"/>
                <w:szCs w:val="24"/>
              </w:rPr>
              <w:t xml:space="preserve"> и мероприятий ПСА.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СК на ЛПХ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pStyle w:val="864"/>
              <w:ind w:left="0" w:firstLine="0"/>
              <w:jc w:val="center"/>
              <w:spacing w:before="0" w:beforeAutospacing="0" w:after="0" w:afterAutospacing="0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ЛПХ - по ведению личного подсобного хозяйств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а</w:t>
            </w:r>
            <w:r/>
          </w:p>
          <w:p>
            <w:pPr>
              <w:pStyle w:val="864"/>
              <w:jc w:val="center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 xml:space="preserve">Размер выплаты:</w:t>
            </w:r>
            <w:r/>
          </w:p>
          <w:p>
            <w:pPr>
              <w:pStyle w:val="864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Не более 200 000 руб. единовременно.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СК заключается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более чем на 12 месяцев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/>
          </w:p>
          <w:p>
            <w:pPr>
              <w:pStyle w:val="864"/>
              <w:ind w:left="0" w:firstLine="0"/>
              <w:jc w:val="center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 xml:space="preserve">Условия: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num" w:pos="0" w:leader="none"/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*   Регистрация в качестве самозанятого.</w:t>
            </w:r>
            <w:r/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* Наличие земельного участка либо право пользования земельным участком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оответствующ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его назначения, на котором планируется ведение личного подсобного хозяйства.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*  Наличие сметы расходов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* 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Прохождение тестирования для определения уровня предпринимательских компетенций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.</w:t>
            </w:r>
            <w:r/>
          </w:p>
          <w:p>
            <w:pPr>
              <w:pStyle w:val="863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Приобрести  товары, основные средства и сельскохозяйственную продукцию  необходимые для ведения ЛПХ.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63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*Осуществлять реализацию произведенной сельскохозяйственной продукции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63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* Вести ЛПХ  в период срока действия СК и не менее чем в течение 12 месяцев со дня окончания срока действия СК.</w:t>
            </w:r>
            <w:r/>
          </w:p>
          <w:p>
            <w:pPr>
              <w:pStyle w:val="863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Предоставлять документы (сведения), необходимые для контроля за выполнением обязательств по 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nos" w:hAnsi="Tinos" w:cs="Tinos"/>
                <w:sz w:val="24"/>
                <w:szCs w:val="24"/>
              </w:rPr>
              <w:t xml:space="preserve">и мероприятий ПСА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b w:val="0"/>
                <w:bCs w:val="0"/>
                <w:i w:val="0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СК на ТЖС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pStyle w:val="856"/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Мероприятия, направле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нные на преодоление гражданином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r>
          </w:p>
          <w:p>
            <w:p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трудной жизненной ситуации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- ТЖС</w:t>
            </w:r>
            <w:r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 xml:space="preserve">Максимальный размер выплаты - </w:t>
            </w:r>
            <w:r>
              <w:rPr>
                <w:color w:val="000000"/>
              </w:rPr>
              <w:t xml:space="preserve">19405 рублей * 6 месяцев</w:t>
            </w:r>
            <w:r>
              <w:rPr>
                <w:u w:val="single"/>
              </w:rPr>
            </w:r>
            <w:r>
              <w:rPr>
                <w:u w:val="none"/>
              </w:rPr>
            </w:r>
          </w:p>
          <w:p>
            <w:pPr>
              <w:pStyle w:val="86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СК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заключается не более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чем на 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месяцев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b/>
                <w:bCs/>
                <w:u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b/>
                <w:bCs/>
                <w:color w:val="000000"/>
                <w:u w:val="none"/>
              </w:rPr>
              <w:t xml:space="preserve">Условия:</w:t>
            </w:r>
            <w:r>
              <w:rPr>
                <w:b/>
                <w:bCs/>
                <w:u w:val="none"/>
              </w:rPr>
            </w:r>
            <w:r>
              <w:rPr>
                <w:b/>
                <w:bCs/>
                <w:u w:val="none"/>
              </w:rPr>
            </w:r>
          </w:p>
          <w:p>
            <w:pPr>
              <w:pStyle w:val="863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* Выполнять мероприятия, предусмотренные СК и ПСА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63"/>
              <w:jc w:val="both"/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* С целью удовлетворения потребностей приобрести необходимые товары в зависимости от трудной жизненной ситуации.</w:t>
            </w:r>
            <w:r/>
          </w:p>
          <w:p>
            <w:pPr>
              <w:pStyle w:val="863"/>
              <w:jc w:val="both"/>
              <w:rPr>
                <w:rFonts w:ascii="Tinos" w:hAnsi="Tinos" w:cs="Tinos"/>
                <w:sz w:val="24"/>
                <w:szCs w:val="24"/>
              </w:rPr>
            </w:pPr>
            <w:r/>
            <w:bookmarkStart w:id="0" w:name="undefined"/>
            <w:r/>
            <w:bookmarkEnd w:id="0"/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 *Предоставлять документы (сведения), необходимые для контроля за выполнением обязательств по СК</w:t>
            </w:r>
            <w:r>
              <w:rPr>
                <w:rFonts w:ascii="Tinos" w:hAnsi="Tinos" w:cs="Tinos"/>
                <w:sz w:val="24"/>
                <w:szCs w:val="24"/>
              </w:rPr>
              <w:t xml:space="preserve"> и мероприятий ПСА.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на счет, открытый в кредитной организации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  <w:style w:type="paragraph" w:styleId="8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3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4" w:customStyle="1">
    <w:name w:val="Обычный (веб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27</cp:revision>
  <dcterms:modified xsi:type="dcterms:W3CDTF">2026-02-03T12:14:27Z</dcterms:modified>
</cp:coreProperties>
</file>