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jc w:val="center"/>
        <w:rPr>
          <w:rFonts w:ascii="Tinos" w:hAnsi="Tinos" w:eastAsia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Присвоение звания «Ветеран труда Самарской области» 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pStyle w:val="855"/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  <w:t xml:space="preserve">и выдача удостоверений ветерана труда Самарской области 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pStyle w:val="855"/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tbl>
      <w:tblPr>
        <w:tblStyle w:val="708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 w:val="0"/>
                <w:bCs w:val="0"/>
                <w:color w:val="ff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Закон Самарской области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от 6 декабря 2006 года №155-ГД «О ветеранах труда Самарской области»,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b w:val="0"/>
                <w:bCs w:val="0"/>
                <w:color w:val="ff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ff0000" w:themeColor="text1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 w:val="0"/>
                <w:bCs w:val="0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4"/>
                <w:szCs w:val="24"/>
              </w:rPr>
              <w:t xml:space="preserve">Приказ министерства социально-демографического развития Самарской области от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4"/>
                <w:szCs w:val="24"/>
              </w:rPr>
              <w:t xml:space="preserve"> 12.11.2025 № 814 «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4"/>
                <w:szCs w:val="24"/>
              </w:rPr>
              <w:t xml:space="preserve">Об утверждении Административного регламента министерства социально-демографической и семейной политики Самарской области по предоставлению государственной услуги "Присвоение звания "Ветеран труда Самарской области" и выдача удостоверений ветерана труда Сам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4"/>
                <w:szCs w:val="24"/>
              </w:rPr>
              <w:t xml:space="preserve">арской области"»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присвоения звания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Звание "Ветеран труда Самарской области" присваивается гражданам по одному из следующих оснований: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1. Наличие следующих наград: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1) звание "Почетный гражданин Самарской области" при наличии трудового стажа не менее 25 лет для мужчин и не менее 20 лет для женщин;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2) знак отличия "За заслуги перед Самарской областью" при наличии трудового стажа не менее 30 лет для мужчин и не менее 25 лет для женщин;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3) почетный знак Самарской Губернской Думы "За заслуги в законотворчестве" при наличии трудового стажа не менее 35 лет для мужчин и не менее 30 лет для женщин;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4) почетный знак Губернатора Самарской области "За труд во благо земли Самарской" при наличии трудового стажа не менее 35 лет для мужчин и не менее 30 лет для женщин;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5) знак отличия "Материнская доблесть" I и II степеней при наличии трудового стажа не менее 20 лет;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6) Почетная грамота Куйбышевского обкома КПСС, облисполкома при наличии трудового стажа не менее 35 лет для мужчин и не менее 30 лет для женщин.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nos" w:hAnsi="Tinos" w:cs="Tinos"/>
                <w:b/>
                <w:sz w:val="26"/>
                <w:szCs w:val="26"/>
              </w:rPr>
              <w:outlineLvl w:val="1"/>
            </w:pPr>
            <w:r>
              <w:rPr>
                <w:rFonts w:ascii="Tinos" w:hAnsi="Tinos" w:eastAsia="Tinos" w:cs="Tinos"/>
                <w:b/>
                <w:sz w:val="24"/>
                <w:szCs w:val="24"/>
                <w:lang w:eastAsia="ru-RU"/>
              </w:rPr>
              <w:t xml:space="preserve">2. Наличие трудового стажа на территории Самарской области не менее 40 лет для мужчин и 35 лет для женщин и одной из следующих наград Самарской области:</w:t>
            </w:r>
            <w:r>
              <w:rPr>
                <w:rFonts w:ascii="Tinos" w:hAnsi="Tinos" w:cs="Tinos"/>
                <w:b/>
                <w:sz w:val="26"/>
                <w:szCs w:val="26"/>
              </w:rPr>
            </w:r>
            <w:r>
              <w:rPr>
                <w:rFonts w:ascii="Tinos" w:hAnsi="Tinos" w:cs="Tinos"/>
                <w:b/>
                <w:sz w:val="26"/>
                <w:szCs w:val="26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1) Губернская премия;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2) почетный знак Трудовой Славы;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3) почетное звание Самарской области;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4) Почетная грамота Самарской Губернской Думы;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5) почетный знак Самарской Губернской Думы "За служение закону";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  <w:lang w:eastAsia="ru-RU"/>
              </w:rPr>
              <w:t xml:space="preserve">    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5.1) почетный знак Самарской Губернской Думы "Земское признание" II степени;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6) почетный знак Губернатора Самарской области "За вклад в укрепление дружбы народов";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7) почетный знак Губернатора Самарской области "За развитие профсоюзного движения в Самарской области";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8) почетный знак Губернатора Самарской области "За заслуги в развитии ветеранского движения";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9) почетный знак Губернатора Самарской области "За заслуги в наставничестве";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10) диплом Самарской Губернской Думы;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11) Благодарность Самарской Губернской Думы;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12) Почетная грамота Губернатора Самарской области;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13) Благодарность Губернатора Самарской области.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highlight w:val="none"/>
                <w:u w:val="single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eastAsia="ru-RU"/>
              </w:rPr>
              <w:t xml:space="preserve">Для граждан, имеющих трудовой стаж на территории Самарской области не менее 40 лет для мужчин и не менее 35 лет для женщин по состоянию 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u w:val="single"/>
                <w:lang w:eastAsia="ru-RU"/>
              </w:rPr>
              <w:t xml:space="preserve">на 23.11.2019 года</w:t>
            </w: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eastAsia="ru-RU"/>
              </w:rPr>
              <w:t xml:space="preserve"> включительн</w:t>
            </w: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eastAsia="ru-RU"/>
              </w:rPr>
              <w:t xml:space="preserve"> награда не требуется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(ЗСО№116–ГД от 13.11.2019 (вступил в силу 24.11.2019).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u w:val="single"/>
                <w:lang w:eastAsia="ru-RU"/>
              </w:rPr>
            </w:r>
          </w:p>
          <w:p>
            <w:pPr>
              <w:pStyle w:val="855"/>
              <w:jc w:val="center"/>
              <w:rPr>
                <w:rFonts w:ascii="Tinos" w:hAnsi="Tinos" w:cs="Tinos"/>
                <w:b/>
                <w:bCs/>
                <w:sz w:val="26"/>
                <w:szCs w:val="26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В  трудовой стаж, требуемый  для присвоения звания                     "Ветеран труда Самарской области" включаются: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      1) периоды работы в качестве рабочего, служащего (в том числе работа по найму за пределами территории Российской Федерации), члена колхоза или другой кооперативной организации;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периоды индивидуальной трудовой деятельности, в том числе в сельском хозяйстве;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    2) периоды творческой деятельности членов творческих союзов писателей, художников, композиторов, кинематографистов, театральных деятелей, а также литераторов и художников, не являющихся членами соответствующих творческих союзов;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   3) служба в Вооруженных Силах Российской Федерации;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   4) периоды получения пособия по безработице, участия в оплачиваемых общественных работах;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    5)периоды получения начального профессионального, среднего профессионального и высшего профессионального образования по очной форме обучения;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   6) периоды ухода неработающей матери за каждым ребенком в возрасте до трех лет и 70 дней до его рождения, но не более 9 лет в общей сложности;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   7) периоды иной трудовой деятельности, которые подлежат зачету в стаж в соответствии с пенсионным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  </w:t>
            </w:r>
            <w:r>
              <w:t xml:space="preserve">В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тру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довой стаж на территории Самарской области засчитываются периоды  трудовой и иной деятельности  в  том случае, если она осуществлялась в организациях, расположенных и  (или) зарегистрированных на территории Самарс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кой области.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Периоды прохождения военной службы по призыву и ухода неработающей  матери за ребенком засчитываются в трудовой стаж независимо от факта их  осуществления на территории Самарской области.</w:t>
            </w:r>
            <w:r>
              <w:rPr>
                <w:rFonts w:ascii="Tinos" w:hAnsi="Tinos" w:cs="Tinos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71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auto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Лично, либо через  </w:t>
            </w:r>
            <w:r>
              <w:rPr>
                <w:rFonts w:ascii="Tinos" w:hAnsi="Tinos" w:eastAsia="Tinos" w:cs="Tinos"/>
                <w:b w:val="0"/>
                <w:bCs w:val="0"/>
                <w:color w:val="auto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auto"/>
                <w:sz w:val="26"/>
                <w:szCs w:val="26"/>
                <w:highlight w:val="none"/>
              </w:rPr>
              <w:t xml:space="preserve">Единый портал государственных и муниципальных услуг </w:t>
            </w:r>
            <w:r>
              <w:rPr>
                <w:rFonts w:ascii="Tinos" w:hAnsi="Tinos" w:eastAsia="Tinos" w:cs="Tinos"/>
                <w:b w:val="0"/>
                <w:bCs w:val="0"/>
                <w:color w:val="auto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auto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color w:val="auto"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/>
                <w:bCs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nos" w:hAnsi="Tinos" w:cs="Tinos"/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color w:val="auto"/>
                <w:sz w:val="24"/>
                <w:szCs w:val="24"/>
              </w:rPr>
              <w:t xml:space="preserve">в течение 20 календарных дней со дня регистрации электронного заявления </w:t>
            </w:r>
            <w:r>
              <w:rPr>
                <w:rFonts w:ascii="Tinos" w:hAnsi="Tinos" w:cs="Tinos"/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  <w:t xml:space="preserve">*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документ, удостоверяющий личность гражданина РФ;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outlineLvl w:val="1"/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 xml:space="preserve"> сведения  МВД о регистрации по месту жительства (проживания)на территории Самарской области. 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  <w:t xml:space="preserve">-* 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 xml:space="preserve">документы, подтверждающие факт награждения наградами, указанными выше, со ссылкой на орган, принявший решение о награждении, дату и  номер решения о награждении;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  <w:t xml:space="preserve">* 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 xml:space="preserve">трудовая книжка заявителя (либо заверенная работодателем копия трудовой книжки (сведений о трудовой деятельности, полученных в соответствии со статьей 66.1 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 xml:space="preserve">ТК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 xml:space="preserve"> РФ, за период трудовой деятельности до 1января 2020г.);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</w:rPr>
              <w:outlineLvl w:val="1"/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  <w:t xml:space="preserve">*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иные документы, содержащие сведения о периодах трудовой деятельности,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оформленные в соответствии с требованиями законодательства РФ;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сведения о наличии или отсутствии у заявителя непогашенной или неснятой судимости;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  <w:outlineLvl w:val="1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*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фото 3х4.   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-   СНИЛС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  <w:u w:val="single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  <w:u w:val="single"/>
                <w:lang w:eastAsia="ru-RU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Звание "Ветеран труда Самарской области" не может быть присвоено  гражданину, имеющему непогашенную или неснятую судимость либо повторно  привлеченному к дисциплинарному взысканию в виде увольнения в течение  года со дня издания первого приказа об увольнен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ии за дисциплинарный  проступок.</w:t>
            </w:r>
            <w:r>
              <w:rPr>
                <w:rFonts w:ascii="Tinos" w:hAnsi="Tinos" w:cs="Tinos"/>
                <w:sz w:val="26"/>
                <w:szCs w:val="26"/>
                <w:u w:val="single"/>
              </w:rPr>
            </w:r>
            <w:r>
              <w:rPr>
                <w:rFonts w:ascii="Tinos" w:hAnsi="Tinos" w:cs="Tinos"/>
                <w:sz w:val="26"/>
                <w:szCs w:val="26"/>
                <w:u w:val="singl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с. Большая Глушица, ул. Гагарина, д.27, каб.18, тел. 8(846 73)  2-22-61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No Spacing"/>
    <w:basedOn w:val="852"/>
    <w:uiPriority w:val="1"/>
    <w:qFormat/>
    <w:pPr>
      <w:spacing w:after="0" w:line="240" w:lineRule="auto"/>
    </w:pPr>
  </w:style>
  <w:style w:type="paragraph" w:styleId="856">
    <w:name w:val="List Paragraph"/>
    <w:basedOn w:val="852"/>
    <w:uiPriority w:val="34"/>
    <w:qFormat/>
    <w:pPr>
      <w:contextualSpacing/>
      <w:ind w:left="720"/>
    </w:pPr>
  </w:style>
  <w:style w:type="character" w:styleId="857" w:default="1">
    <w:name w:val="Default Paragraph Font"/>
    <w:uiPriority w:val="1"/>
    <w:semiHidden/>
    <w:unhideWhenUsed/>
  </w:style>
  <w:style w:type="paragraph" w:styleId="85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15</cp:revision>
  <dcterms:modified xsi:type="dcterms:W3CDTF">2026-02-03T12:06:24Z</dcterms:modified>
</cp:coreProperties>
</file>