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rPr>
          <w:rFonts w:ascii="Tinos" w:hAnsi="Tinos" w:eastAsia="Tinos" w:cs="Tinos"/>
          <w:b/>
          <w:bCs/>
          <w:sz w:val="29"/>
          <w:szCs w:val="29"/>
          <w:highlight w:val="none"/>
        </w:rPr>
      </w:pPr>
      <w:r>
        <w:rPr>
          <w:rFonts w:ascii="Tinos" w:hAnsi="Tinos" w:eastAsia="Tinos" w:cs="Tinos"/>
          <w:b/>
          <w:bCs/>
          <w:sz w:val="29"/>
          <w:szCs w:val="29"/>
          <w:highlight w:val="none"/>
        </w:rPr>
      </w:r>
      <w:r>
        <w:rPr>
          <w:rFonts w:ascii="Tinos" w:hAnsi="Tinos" w:eastAsia="Tinos" w:cs="Tinos"/>
          <w:b/>
          <w:bCs/>
          <w:sz w:val="29"/>
          <w:szCs w:val="29"/>
        </w:rPr>
        <w:t xml:space="preserve">Присвоение звания "Ветеран труда" и/или выдача удостоверений ветерана</w:t>
      </w:r>
      <w:r>
        <w:rPr>
          <w:rFonts w:ascii="Tinos" w:hAnsi="Tinos" w:eastAsia="Tinos" w:cs="Tinos"/>
          <w:b/>
          <w:bCs/>
          <w:sz w:val="29"/>
          <w:szCs w:val="29"/>
          <w:highlight w:val="none"/>
        </w:rPr>
      </w:r>
      <w:r>
        <w:rPr>
          <w:rFonts w:ascii="Tinos" w:hAnsi="Tinos" w:eastAsia="Tinos" w:cs="Tinos"/>
          <w:b/>
          <w:bCs/>
          <w:sz w:val="29"/>
          <w:szCs w:val="29"/>
          <w:highlight w:val="none"/>
        </w:rPr>
      </w:r>
    </w:p>
    <w:p>
      <w:pPr>
        <w:pStyle w:val="859"/>
        <w:jc w:val="center"/>
        <w:rPr>
          <w:rFonts w:ascii="Tinos" w:hAnsi="Tinos" w:cs="Tinos"/>
          <w:b/>
          <w:bCs/>
          <w:sz w:val="29"/>
          <w:szCs w:val="29"/>
          <w:highlight w:val="none"/>
        </w:rPr>
      </w:pPr>
      <w:r>
        <w:rPr>
          <w:rFonts w:ascii="Tinos" w:hAnsi="Tinos" w:cs="Tinos"/>
          <w:b/>
          <w:bCs/>
          <w:sz w:val="29"/>
          <w:szCs w:val="29"/>
          <w:highlight w:val="none"/>
        </w:rPr>
      </w:r>
      <w:r>
        <w:rPr>
          <w:rFonts w:ascii="Tinos" w:hAnsi="Tinos" w:cs="Tinos"/>
          <w:b/>
          <w:bCs/>
          <w:sz w:val="29"/>
          <w:szCs w:val="29"/>
          <w:highlight w:val="none"/>
        </w:rPr>
      </w:r>
      <w:r>
        <w:rPr>
          <w:rFonts w:ascii="Tinos" w:hAnsi="Tinos" w:cs="Tinos"/>
          <w:b/>
          <w:bCs/>
          <w:sz w:val="29"/>
          <w:szCs w:val="29"/>
          <w:highlight w:val="none"/>
        </w:rPr>
      </w:r>
    </w:p>
    <w:tbl>
      <w:tblPr>
        <w:tblStyle w:val="712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>
          <w:trHeight w:val="2451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Закон Самарской области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от 6 мая 2006 года N 40-ГД «О порядке и условиях присвоения звания "Ветеран труда" гражданам, проживающим на территории Самарской области»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6"/>
              </w:rPr>
            </w:r>
            <w:r/>
          </w:p>
          <w:p>
            <w:pPr>
              <w:ind w:left="0" w:right="0" w:firstLine="0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  <w:t xml:space="preserve">Приказ министерства социально-демографического развития Самарской области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6"/>
              </w:rPr>
              <w:br/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от 17 июля 2012 года N 203 «Об утверждении Административного регламента министерства социально-демографической и семейной политики Самарской области по предоставлению государствен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ной услуги "Присвоение звания "Ветеран труда" и/или выдача удостоверений ветерана»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присвоения звания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Получателями являются граждане Российской Федерации, проживающие на территории Самарской области, из числа: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  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 лиц, награжденных орденами или медалями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СССР или Российской Федерации, либо удостоенных почетных званий СССР или Российской Федерации, либо награжденных почетными грамотами Президента Российской Федерации или удостоенных благодарности Президента Российской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Федерации, либо награжденных ведомственными знаками отличия за заслуги в труде (службе) и продолжительную работу (службу) не менее 15 лет в соответствующей сфере деятельности (отрасли экономики) и имеющих трудовой (страховой) стаж, учитываемый для назначе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ния пенсии, не менее 25 лет для мужчин и 20 лет для женщин или выслугу лет, необходимую для назначения пенсии за выслугу лет в календарном исчислении;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-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лиц, награжденных ведомственными знаками отличия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в труде по состоянию на 30 июня 2016 года и имеющих трудовой (страховой) стаж, учитываемый для назначения пенсии, не менее 25 лет для мужчин и 20 лет для женщин или выслугу лет, необходимую для назначения пе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нсии за выслугу лет в календарном исчислении;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  -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лиц, начавших трудовую деятельность в несовершеннолетнем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возрасте в период Великой Отечественной войны и имеющих трудовой (страховой) стаж не менее 40 лет для мужчин и 35 лет для женщин.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  <w:highlight w:val="none"/>
                <w:u w:val="single"/>
              </w:rPr>
              <w:outlineLvl w:val="1"/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  <w:lang w:eastAsia="ru-RU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  <w:u w:val="single"/>
              </w:rPr>
            </w:r>
          </w:p>
          <w:p>
            <w:pPr>
              <w:pStyle w:val="859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Если удостоверение пришло в негодность или утрачено, то по заявлению выдается новое удостоверение.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pStyle w:val="859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Сведения об удостоверениях, выданных лицам, которым в соответствии с </w:t>
            </w:r>
            <w:hyperlink r:id="rId10" w:tooltip="https://docs.cntd.ru/document/9010197#7D20K3" w:history="1">
              <w:r>
                <w:rPr>
                  <w:rStyle w:val="838"/>
                  <w:rFonts w:ascii="Tinos" w:hAnsi="Tinos" w:eastAsia="Tinos" w:cs="Tinos"/>
                  <w:color w:val="000000" w:themeColor="text1"/>
                  <w:sz w:val="26"/>
                  <w:szCs w:val="26"/>
                  <w:u w:val="none"/>
                </w:rPr>
                <w:t xml:space="preserve">Федеральным законом "О ветеранах"</w:t>
              </w:r>
            </w:hyperlink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присвоено звание "Ветеран труда", размещаются в государственной информационной системе "Единая централизованная цифровая платформа в социальной сфере".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571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Лично, либо через  </w:t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 </w:t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auto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</w:rPr>
              <w:t xml:space="preserve">в течение 20 календарных дней со дня регистрации электронного заявления </w:t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/>
                <w:bCs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-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*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документ, удостоверяющий личность гражданина РФ;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-документ, подтверждающий факт постоянного проживания на территории Самарской области;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-*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удостоверения к орденам, медалям, почетным званиям СССР или Российской Федерации либо документы, подтверждающие награждение почетными грамотами Президента Российской Федерации, награждение благодарностью Президента Российской Федерации, награждение ведомст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венными знаками отличия в труде (службе); в случае отсутствия удостоверения к награде либо документа, подтверждающего награждение ведомственным знаком отличия в труде (службе), учитываются правильно оформленные записи в трудовой книжке, содержащие сведения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о награждении указанными наградами со ссылкой на орган, принявший решение о награждении, дату и номер документа, подтверждающего данное решение, либо справки, подтверждающие факт награждения указанными наградами, выданные в установленном порядке органами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государственной власти или уполномоченными организациями на основании архивных данных;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- *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удостоверения к ведомственными знаками отличия в труде (службе) либо  документы, подтверждающие награждение ведомственными знаками отличия в  труде (службе), решение о награждении которыми принято руководством  (иными уполномоченными должностными лицами) м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инистерств и ведомств  бывшего СССР, РСФСР или РФ, Верховного Суда СССР,  РСФСР или РФ, Конституционного Суда РСФСР или  РФ, Государственного арбитража СССР, РСФСР, Высшего  Арбитражного Суда РФ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Прокуратуры СССР, РСФСР,  Генеральной прокуратуры РФ, палат и аппаратов палат  Федерального Собрания РФ; в случае отсутствия  удостоверения к награде либо документа, подтверждающего награждение  ведомственным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знаком отличия в труде (службе), учитываются правильно  оформленные записи в трудовой книжке, содержащие сведения о награждении  указанными наградами со ссылкой на орган, принявший решение о  награждении, дату и номер документа, подтверждающего данное реш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ение,  либо справки, подтверждающие факт награждения указанными наградами,  выданные в установленном порядке органами государственной власти или  уполномоченными организациями на основании архивных данных;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-*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документ, подтверждающий наличие у заявителя трудового стажа не менее 25 лет для мужчин и 20 лет - для женщин;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  <w:highlight w:val="none"/>
              </w:rPr>
              <w:outlineLvl w:val="1"/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-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*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фото 3х4.  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д.27,каб.18,  тел. 8(846 73)  2-22-61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No Spacing"/>
    <w:basedOn w:val="856"/>
    <w:uiPriority w:val="1"/>
    <w:qFormat/>
    <w:pPr>
      <w:spacing w:after="0" w:line="240" w:lineRule="auto"/>
    </w:pPr>
  </w:style>
  <w:style w:type="paragraph" w:styleId="860">
    <w:name w:val="List Paragraph"/>
    <w:basedOn w:val="856"/>
    <w:uiPriority w:val="34"/>
    <w:qFormat/>
    <w:pPr>
      <w:contextualSpacing/>
      <w:ind w:left="720"/>
    </w:pPr>
  </w:style>
  <w:style w:type="character" w:styleId="861" w:default="1">
    <w:name w:val="Default Paragraph Font"/>
    <w:uiPriority w:val="1"/>
    <w:semiHidden/>
    <w:unhideWhenUsed/>
  </w:style>
  <w:style w:type="paragraph" w:styleId="86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ocs.cntd.ru/document/9010197#7D20K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13</cp:revision>
  <dcterms:modified xsi:type="dcterms:W3CDTF">2026-02-03T12:09:48Z</dcterms:modified>
</cp:coreProperties>
</file>