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eastAsia="Tinos" w:cs="Tinos"/>
          <w:b/>
          <w:bCs/>
          <w:sz w:val="28"/>
          <w:szCs w:val="28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Единовременная социальная выплата на оплату расходов, </w:t>
      </w:r>
      <w:r>
        <w:rPr>
          <w:rFonts w:ascii="Tinos" w:hAnsi="Tinos" w:eastAsia="Tinos" w:cs="Tinos"/>
          <w:b/>
          <w:bCs/>
          <w:sz w:val="28"/>
          <w:szCs w:val="28"/>
          <w14:ligatures w14:val="none"/>
        </w:rPr>
      </w:r>
      <w:r>
        <w:rPr>
          <w:rFonts w:ascii="Tinos" w:hAnsi="Tinos" w:eastAsia="Tinos" w:cs="Tinos"/>
          <w:b/>
          <w:bCs/>
          <w:sz w:val="28"/>
          <w:szCs w:val="28"/>
          <w14:ligatures w14:val="none"/>
        </w:rPr>
      </w:r>
    </w:p>
    <w:p>
      <w:pPr>
        <w:pStyle w:val="855"/>
        <w:jc w:val="center"/>
        <w:rPr>
          <w:rFonts w:ascii="Tinos" w:hAnsi="Tinos" w:cs="Tinos"/>
          <w:b/>
          <w:bCs/>
          <w:sz w:val="28"/>
          <w:szCs w:val="28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связанных с  приобретением и установкой внутридомового газового оборудования, а также  услуг по проектированию и строительству газораспределительных сетей   отдельным категор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иям граждан, </w:t>
      </w:r>
      <w:r>
        <w:rPr>
          <w:rFonts w:ascii="Tinos" w:hAnsi="Tinos" w:cs="Tinos"/>
          <w:b/>
          <w:bCs/>
          <w:sz w:val="28"/>
          <w:szCs w:val="28"/>
          <w14:ligatures w14:val="none"/>
        </w:rPr>
      </w:r>
      <w:r>
        <w:rPr>
          <w:rFonts w:ascii="Tinos" w:hAnsi="Tinos" w:cs="Tinos"/>
          <w:b/>
          <w:bCs/>
          <w:sz w:val="28"/>
          <w:szCs w:val="28"/>
          <w14:ligatures w14:val="none"/>
        </w:rPr>
      </w:r>
    </w:p>
    <w:p>
      <w:pPr>
        <w:pStyle w:val="855"/>
        <w:jc w:val="center"/>
        <w:rPr>
          <w:rFonts w:ascii="Tinos" w:hAnsi="Tinos" w:eastAsia="Tinos" w:cs="Tinos"/>
          <w:b/>
          <w:bCs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проживающих  на территории Самарской области.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  <w14:ligatures w14:val="none"/>
        </w:rPr>
      </w:r>
    </w:p>
    <w:p>
      <w:pPr>
        <w:pStyle w:val="855"/>
        <w:jc w:val="center"/>
        <w:rPr>
          <w:rFonts w:ascii="Tinos" w:hAnsi="Tinos" w:cs="Tinos"/>
          <w:b/>
          <w:bCs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14:ligatures w14:val="none"/>
        </w:rPr>
        <w:t xml:space="preserve">(догазификация)</w:t>
      </w:r>
      <w:r>
        <w:rPr>
          <w:rFonts w:ascii="Tinos" w:hAnsi="Tinos" w:cs="Tinos"/>
          <w:b/>
          <w:bCs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  <w14:ligatures w14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1753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Постановление Правительства Самарской области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от 26.10.2021 года N 811 «О предоставлении меры социальной поддержки в виде единовременной социальной выплаты на оплату расходов, связанных с приобретением и установкой внутридомового газового оборудования, а также услуг по проектированию и строитель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ству газораспределительных сетей отдельным категориям граждан, проживающих на территории Самарской области» (</w:t>
            </w:r>
            <w:r>
              <w:t xml:space="preserve">на 2021 - 2027 годы )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201 000 рублей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Социальная выплата  предоставляется  следующим категориям граждан Российской Федерации,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постоянно проживающих и зарегистрированных по месту жительства на территории Самарской облас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ти в принадлежащих им на праве собственности жилых помещениях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дату обращения,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заключивших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 газораспределительной организацией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 договор о подключении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указанного жилого помещения к сетям газораспределения после 21 апреля 2021 года,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выполнивших сво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и обязательства в рамках договора по подготовке домовладения к приему газа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1) инвалиды Великой Отечественной войны;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2) участники Великой Отечественной войны;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3) члены семей погибших (умерших) инвалидов Великой Отечественной войны, указанные в </w:t>
            </w:r>
            <w:hyperlink r:id="rId10" w:tooltip="https://docs.cntd.ru/document/9010197#8QG0M6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статье 21 Федерального закона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4) члены семей погибших (умерших) участников Великой Отечественной войны, указанные в </w:t>
            </w:r>
            <w:hyperlink r:id="rId11" w:tooltip="https://docs.cntd.ru/document/9010197#8QG0M6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статье 21 Федерального закона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5) бывшие несовершеннолетние узники фашизма;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6) лица, награжденные знаком "Жителю блокадного Ленинграда";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7) лица, награжденные знаком "Житель осажденного Севастополя";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8) ветераны Великой Отечественной войны - труженики тыла из числа лиц, указанных в </w:t>
            </w:r>
            <w:hyperlink r:id="rId12" w:tooltip="https://docs.cntd.ru/document/9010197#8P80LT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подпункте 4 пункта 1 статьи 2 Федерального закона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9) семьи, имеющие детей-инвалидов;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10)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многодетные семьи, имеющие трех и более детей (включая рожденных (усыновленных), приемных и (или) находящихся под опекой (попечительством) в возрасте до восемнадцати лет и (или) двадцати трех лет, обучающихся в организации, осуществляющей образовательн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ую деятельность, по очной форме обучения;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11) инвалиды I и II групп;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12) одиноко проживающие граждане, являющиеся получателями пенсии, которая установлена (назначена) в соответствии с федеральными </w:t>
            </w:r>
            <w:hyperlink r:id="rId13" w:tooltip="https://docs.cntd.ru/document/499067425#7D20K3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законами "О страховых пенсиях"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 "О государственном пенсионном обеспечении в Российской Федерации", при условии, что размер их пенсии не превышает величины прожиточного минимума в Самарской области, установленной Правительством Самарской области для пенсионеров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(14335 руб.)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на дату обращения за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значением социальной выплаты.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13) получатели субсидии на оплату жилого помещения и коммунальных услуг;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14) получатели ежемесячного пособия на ребенка, установленного пунктом 1 части 1 статьи 2 </w:t>
            </w:r>
            <w:hyperlink r:id="rId14" w:tooltip="https://docs.cntd.ru/document/945009804#64U0IK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Закона Самарской области "О государственной поддержке граждан, имеющих детей"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15) получатели социальной помощи в виде денежных выплат (социального пособия);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16) ветераны боевых действий;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17) инвалиды III группы;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18) инвалиды боевых действий, указанные в </w:t>
            </w:r>
            <w:hyperlink r:id="rId15" w:tooltip="https://docs.cntd.ru/document/9010197#7DA0K6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статье 4 Федерального закона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19) члены семей погибших (умерших) инвалидов боевых действий, указанные в </w:t>
            </w:r>
            <w:hyperlink r:id="rId16" w:tooltip="https://docs.cntd.ru/document/9010197#8QG0M6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статье 21 Федерального закона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20) члены семей погибших (умерших) ветеранов боевых действий, указанные в </w:t>
            </w:r>
            <w:hyperlink r:id="rId17" w:tooltip="https://docs.cntd.ru/document/9010197#8QG0M6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статье 21 Федерального закона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 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граждане, призванные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отделами Военного комиссариата Самарской области на военную службу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по мобилизации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в Вооруженные Силы Российской Федерации в соответствии с </w:t>
            </w:r>
            <w:hyperlink r:id="rId18" w:tooltip="https://docs.cntd.ru/document/351809307#64S0IJ" w:history="1">
              <w:r>
                <w:rPr>
                  <w:rStyle w:val="834"/>
                  <w:rFonts w:ascii="Times New Roman" w:hAnsi="Times New Roman" w:eastAsia="Times New Roman" w:cs="Times New Roman"/>
                  <w:b w:val="0"/>
                  <w:bCs w:val="0"/>
                  <w:color w:val="0000ee"/>
                  <w:sz w:val="24"/>
                  <w:u w:val="single"/>
                </w:rPr>
                <w:t xml:space="preserve">Указом Президента Российской Федерации от 21 сентября 2022 года N 647 "Об объявлении частичной мобилизации в Российской Федерации"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,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 дня призыва граждан на военную службу по мобилизации в Вооруженные Силы Российской Федерации до дня их увольнения с военной службы;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22)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граждане, проходящие военную службу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в Вооруженных Силах Российской Федерации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по контракту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, или лица, находящиеся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9" w:tooltip="https://docs.cntd.ru/document/9020348#65E0IS" w:history="1">
              <w:r>
                <w:rPr>
                  <w:rStyle w:val="834"/>
                  <w:rFonts w:ascii="Times New Roman" w:hAnsi="Times New Roman" w:eastAsia="Times New Roman" w:cs="Times New Roman"/>
                  <w:b w:val="0"/>
                  <w:bCs w:val="0"/>
                  <w:color w:val="0000ee"/>
                  <w:sz w:val="24"/>
                  <w:u w:val="single"/>
                </w:rPr>
                <w:t xml:space="preserve">пункте 6 статьи 1 Федерального закона "Об обороне"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, принимающие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 дня начала участия в специальной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военной операции до дня завершения участия таких граждан в специальной военной операции, но не позже дня завершения действия такого контракта;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23)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граждане, заключившие контракт о добровольном содействии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в выполнении задач, возложенных на Вооруженные Силы Российской Федерации (войска национальной гвардии Российской Федерации), при условии их участия в специальной военной операции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со дня начала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участия в специальной военной операции до дня завершения участия таких граждан в специальной военной операции, но не позже дня завершения действия такого контракта;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24)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 члены семей граждан, указанных в  пунктах 21 - 23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, в том числе поги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бших (умерших) при выполнении задач в период проведения специальной военной операции либо позднее указанного периода, но вследствие увечья (ранения, травмы, контузии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или заболевания, полученных при выполнении задач в ходе проведения специальной военной операции, или объявленных судом умершими: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родители;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супруг (супруга);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дети в возрасте до восемнадцати лет или двадцати трех лет, обучающиеся в организации, осуществляющей образовательную деятельность, по очной форме обучения.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Категориям граждан, указанных в  пунктах 9, 10 и 21 - 24,   выплата предоставляется одному из членов семьи при условии регистрации его по месту жительства в принадлежащем ему на праве собственности жилом помещении.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Заявление о предоставлении социальной выплаты подается гражданином,  имеющим право на социальную выплату, или его представителем в срок не  позднее 15 декабря 2027 года.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*а)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заявление;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*б)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 заявителя;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в) документы (сведения) о регистрационном учете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по месту жительства заявителя;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*г)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правоустанавливающие документы на жилое помещение, права на которое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зарегистрированы в Едином государственном реестре недвижимости;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*д)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заключенный с газораспределительной организацией после 21 апреля 2021 года договор о технологическом присоединении домовладения к сетям газораспределения;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*е)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акт о технологическом подсоединении к газораспределительным сетям, оформленный газораспределительной организацией и подписанный со стороны газораспределительной организации и заявителя;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*ж)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документы (сведения), подтверждающие отнесение заявителя к категориям лиц, имеющим право на выплату;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з) справка о получении пенсии;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подачи заявления через представителя также предъявляются документы, удостоверяющие личность и полномочия представителя.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Документы, указанные в  пункте "ж", представляются заявителем (или его представителем) самостоятельно, за исключением сведений, запрашиваемых   в порядке межведомственного электронного взаимодействия.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регистрационном учете по месту жительства заявителя, сведения о правоустанавливающих документах на жилое помещение, права на которое зарегистрированы в Едином государственном реестре недвижимости, сведения об инвалидности, содержащиеся в федерал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ьной государственной информационной системе "Единая централизованная цифровая платформа в социальной сфере", сведения о государственной регистрации рождения ребенка (детей), сведения об установлении над ребенком опеки (попечительства), а также сведения (сп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равка) о подтверждении факта участия в специальной военной операции запрашиваются уполномоченными учреждениями в порядке межведомственного взаимодействия.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Заявитель вправе представить документы  по своей инициативе.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выплата  осуществляется  путем перечисления   на  лицевой счет гражданина, открытый им в кредитной организации.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 27, каб. 18 , тел. 8(846 73)  2-22-61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010197#8QG0M6" TargetMode="External"/><Relationship Id="rId11" Type="http://schemas.openxmlformats.org/officeDocument/2006/relationships/hyperlink" Target="https://docs.cntd.ru/document/9010197#8QG0M6" TargetMode="External"/><Relationship Id="rId12" Type="http://schemas.openxmlformats.org/officeDocument/2006/relationships/hyperlink" Target="https://docs.cntd.ru/document/9010197#8P80LT" TargetMode="External"/><Relationship Id="rId13" Type="http://schemas.openxmlformats.org/officeDocument/2006/relationships/hyperlink" Target="https://docs.cntd.ru/document/499067425#7D20K3" TargetMode="External"/><Relationship Id="rId14" Type="http://schemas.openxmlformats.org/officeDocument/2006/relationships/hyperlink" Target="https://docs.cntd.ru/document/945009804#64U0IK" TargetMode="External"/><Relationship Id="rId15" Type="http://schemas.openxmlformats.org/officeDocument/2006/relationships/hyperlink" Target="https://docs.cntd.ru/document/9010197#7DA0K6" TargetMode="External"/><Relationship Id="rId16" Type="http://schemas.openxmlformats.org/officeDocument/2006/relationships/hyperlink" Target="https://docs.cntd.ru/document/9010197#8QG0M6" TargetMode="External"/><Relationship Id="rId17" Type="http://schemas.openxmlformats.org/officeDocument/2006/relationships/hyperlink" Target="https://docs.cntd.ru/document/9010197#8QG0M6" TargetMode="External"/><Relationship Id="rId18" Type="http://schemas.openxmlformats.org/officeDocument/2006/relationships/hyperlink" Target="https://docs.cntd.ru/document/351809307#64S0IJ" TargetMode="External"/><Relationship Id="rId19" Type="http://schemas.openxmlformats.org/officeDocument/2006/relationships/hyperlink" Target="https://docs.cntd.ru/document/9020348#65E0I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17</cp:revision>
  <dcterms:modified xsi:type="dcterms:W3CDTF">2025-10-06T07:22:11Z</dcterms:modified>
</cp:coreProperties>
</file>