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rPr>
          <w:b w:val="1"/>
        </w:rPr>
        <w:t>Каковы юридические последствия признания организации экстремистской или террористической ?</w:t>
      </w:r>
    </w:p>
    <w:p w14:paraId="02000000">
      <w:pPr>
        <w:pStyle w:val="Style_1"/>
        <w:rPr>
          <w:rFonts w:ascii="Times New Roman" w:hAnsi="Times New Roman"/>
          <w:sz w:val="24"/>
        </w:rPr>
      </w:pPr>
      <w:r>
        <w:t xml:space="preserve">Поясняет прокурор Большеглушицкого района Алексей Чуцков: </w:t>
      </w:r>
      <w:r>
        <w:rPr>
          <w:rStyle w:val="Style_2_ch"/>
          <w:rFonts w:ascii="Times New Roman" w:hAnsi="Times New Roman"/>
          <w:sz w:val="24"/>
        </w:rPr>
        <w:t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террористическими-наказывается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 ( ст. 282.2 УК РФ).</w:t>
      </w:r>
    </w:p>
    <w:p w14:paraId="03000000">
      <w:pPr>
        <w:pStyle w:val="Style_1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Возможно ли освобождение от уголовной ответственности за совершение данного преступления?</w:t>
      </w:r>
    </w:p>
    <w:p w14:paraId="04000000">
      <w:pPr>
        <w:pStyle w:val="Style_1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Лицо, впервые совершившее преступление, предусмотренное настоящей статьей, и добровольно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</w:t>
      </w:r>
    </w:p>
    <w:p w14:paraId="05000000">
      <w:pPr>
        <w:pStyle w:val="Style_1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Дата публикации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>.2025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5"/>
    <w:link w:val="Style_13_ch"/>
    <w:rPr>
      <w:color w:themeColor="hyperlink" w:val="0563C1"/>
      <w:u w:val="single"/>
    </w:rPr>
  </w:style>
  <w:style w:styleId="Style_13_ch" w:type="character">
    <w:name w:val="Hyperlink"/>
    <w:basedOn w:val="Style_5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2025-09-22T14:21:08Z</dcterms:modified>
</cp:coreProperties>
</file>