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nos" w:hAnsi="Tinos" w:cs="Tinos"/>
          <w:b/>
          <w:bCs/>
          <w:sz w:val="28"/>
          <w:szCs w:val="28"/>
          <w:highlight w:val="none"/>
        </w:rPr>
      </w:pPr>
      <w:r>
        <w:rPr>
          <w:rFonts w:ascii="Tinos" w:hAnsi="Tinos" w:eastAsia="Tinos" w:cs="Tinos"/>
          <w:b/>
          <w:bCs/>
          <w:sz w:val="28"/>
          <w:szCs w:val="28"/>
        </w:rPr>
        <w:t xml:space="preserve"> К</w:t>
      </w:r>
      <w:r>
        <w:rPr>
          <w:rFonts w:ascii="Tinos" w:hAnsi="Tinos" w:eastAsia="Tinos" w:cs="Tinos"/>
          <w:b/>
          <w:bCs/>
          <w:sz w:val="28"/>
          <w:szCs w:val="28"/>
        </w:rPr>
        <w:t xml:space="preserve">омпенсация расходов за самостоятельно приобретенную   путевку в организации отдыха детей и их оздоровления </w:t>
      </w:r>
      <w:r>
        <w:rPr>
          <w:rFonts w:ascii="Tinos" w:hAnsi="Tinos" w:cs="Tinos"/>
          <w:b/>
          <w:bCs/>
          <w:sz w:val="28"/>
          <w:szCs w:val="28"/>
          <w:highlight w:val="none"/>
        </w:rPr>
      </w:r>
      <w:r>
        <w:rPr>
          <w:rFonts w:ascii="Tinos" w:hAnsi="Tinos" w:cs="Tinos"/>
          <w:b/>
          <w:bCs/>
          <w:sz w:val="28"/>
          <w:szCs w:val="28"/>
          <w:highlight w:val="none"/>
        </w:rPr>
      </w:r>
    </w:p>
    <w:tbl>
      <w:tblPr>
        <w:tblStyle w:val="710"/>
        <w:tblW w:w="0" w:type="auto"/>
        <w:tblInd w:w="-425" w:type="dxa"/>
        <w:tblLayout w:type="fixed"/>
        <w:tblLook w:val="04A0" w:firstRow="1" w:lastRow="0" w:firstColumn="1" w:lastColumn="0" w:noHBand="0" w:noVBand="1"/>
      </w:tblPr>
      <w:tblGrid>
        <w:gridCol w:w="1984"/>
        <w:gridCol w:w="8895"/>
      </w:tblGrid>
      <w:tr>
        <w:tblPrEx/>
        <w:trPr/>
        <w:tc>
          <w:tcPr>
            <w:tcW w:w="1984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Нормативные акты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W w:w="8895" w:type="dxa"/>
            <w:textDirection w:val="lrTb"/>
            <w:noWrap w:val="false"/>
          </w:tcPr>
          <w:p>
            <w:pPr>
              <w:jc w:val="both"/>
              <w:rPr>
                <w:rFonts w:ascii="Tinos" w:hAnsi="Tinos" w:eastAsia="Tinos" w:cs="Tinos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b w:val="0"/>
                <w:bCs/>
                <w:sz w:val="26"/>
                <w:szCs w:val="26"/>
              </w:rPr>
              <w:t xml:space="preserve">  </w:t>
            </w:r>
            <w:r>
              <w:rPr>
                <w:rFonts w:ascii="Tinos" w:hAnsi="Tinos" w:eastAsia="Tinos" w:cs="Tinos"/>
                <w:b w:val="0"/>
                <w:bCs/>
                <w:sz w:val="26"/>
                <w:szCs w:val="26"/>
              </w:rPr>
              <w:t xml:space="preserve">  </w:t>
            </w:r>
            <w:r>
              <w:rPr>
                <w:rFonts w:ascii="Tinos" w:hAnsi="Tinos" w:eastAsia="Tinos" w:cs="Tinos"/>
                <w:b w:val="0"/>
                <w:bCs/>
                <w:sz w:val="22"/>
                <w:szCs w:val="22"/>
              </w:rPr>
              <w:t xml:space="preserve">  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</w:rPr>
              <w:t xml:space="preserve"> п</w:t>
            </w:r>
            <w:r>
              <w:rPr>
                <w:rFonts w:ascii="Tinos" w:hAnsi="Tinos" w:eastAsia="Tinos" w:cs="Tinos"/>
                <w:bCs/>
                <w:sz w:val="24"/>
                <w:szCs w:val="24"/>
              </w:rPr>
              <w:t xml:space="preserve">остановление</w:t>
            </w:r>
            <w:r>
              <w:rPr>
                <w:rFonts w:ascii="Tinos" w:hAnsi="Tinos" w:eastAsia="Tinos" w:cs="Tinos"/>
                <w:bCs/>
                <w:sz w:val="24"/>
                <w:szCs w:val="24"/>
              </w:rPr>
              <w:t xml:space="preserve"> </w:t>
            </w:r>
            <w:r>
              <w:rPr>
                <w:rFonts w:ascii="Tinos" w:hAnsi="Tinos" w:eastAsia="Tinos" w:cs="Tinos"/>
                <w:bCs/>
                <w:sz w:val="24"/>
                <w:szCs w:val="24"/>
              </w:rPr>
              <w:t xml:space="preserve">Правительства Самарской области о</w:t>
            </w:r>
            <w:r>
              <w:rPr>
                <w:rFonts w:ascii="Tinos" w:hAnsi="Tinos" w:eastAsia="Tinos" w:cs="Tinos"/>
                <w:bCs/>
                <w:sz w:val="24"/>
                <w:szCs w:val="24"/>
              </w:rPr>
              <w:t xml:space="preserve">т</w:t>
            </w:r>
            <w:r>
              <w:rPr>
                <w:rFonts w:ascii="Tinos" w:hAnsi="Tinos" w:eastAsia="Tinos" w:cs="Tinos"/>
                <w:bCs/>
                <w:sz w:val="24"/>
                <w:szCs w:val="24"/>
              </w:rPr>
              <w:t xml:space="preserve"> 18.12.2023 г.  № 1060 «Об установлении отдельных расходных обязательств Самарской области в сфере развития социальной защиты населения в Самарской области и утверждении порядков (положений) о предоставлении (назначении) отдельных видов социальных выплат»;</w:t>
            </w:r>
            <w:r>
              <w:rPr>
                <w:rFonts w:ascii="Tinos" w:hAnsi="Tinos" w:eastAsia="Tinos" w:cs="Tinos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sz w:val="24"/>
                <w:szCs w:val="24"/>
                <w:highlight w:val="none"/>
              </w:rPr>
            </w:r>
          </w:p>
          <w:p>
            <w:pPr>
              <w:jc w:val="both"/>
              <w:rPr>
                <w:rFonts w:ascii="Tinos" w:hAnsi="Tinos" w:eastAsia="Tinos" w:cs="Tinos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</w:rPr>
              <w:t xml:space="preserve">       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</w:rPr>
              <w:t xml:space="preserve">п</w:t>
            </w:r>
            <w:r>
              <w:rPr>
                <w:rFonts w:ascii="Tinos" w:hAnsi="Tinos" w:eastAsia="Tinos" w:cs="Tinos"/>
                <w:bCs/>
                <w:sz w:val="24"/>
                <w:szCs w:val="24"/>
              </w:rPr>
              <w:t xml:space="preserve">остановление</w:t>
            </w:r>
            <w:r>
              <w:rPr>
                <w:rFonts w:ascii="Tinos" w:hAnsi="Tinos" w:eastAsia="Tinos" w:cs="Tinos"/>
                <w:bCs/>
                <w:sz w:val="24"/>
                <w:szCs w:val="24"/>
              </w:rPr>
              <w:t xml:space="preserve"> </w:t>
            </w:r>
            <w:r>
              <w:rPr>
                <w:rFonts w:ascii="Tinos" w:hAnsi="Tinos" w:eastAsia="Tinos" w:cs="Tinos"/>
                <w:bCs/>
                <w:sz w:val="24"/>
                <w:szCs w:val="24"/>
              </w:rPr>
              <w:t xml:space="preserve">Правительства Самарской области о</w:t>
            </w:r>
            <w:r>
              <w:rPr>
                <w:rFonts w:ascii="Tinos" w:hAnsi="Tinos" w:eastAsia="Tinos" w:cs="Tinos"/>
                <w:bCs/>
                <w:sz w:val="24"/>
                <w:szCs w:val="24"/>
              </w:rPr>
              <w:t xml:space="preserve">т </w:t>
            </w:r>
            <w:r>
              <w:rPr>
                <w:rFonts w:ascii="Tinos" w:hAnsi="Tinos" w:eastAsia="Tinos" w:cs="Tinos"/>
                <w:bCs/>
                <w:sz w:val="24"/>
                <w:szCs w:val="24"/>
              </w:rPr>
              <w:t xml:space="preserve">09.04.2025 № 193 « О внесении изменений в отдельные постановления Правительства Самарской области и внесении изменений в сводную бюджетную роспись областного бюджета на 2025 год и плановый период 2026 и 2027 годов»</w:t>
            </w:r>
            <w:r>
              <w:rPr>
                <w:rFonts w:ascii="Tinos" w:hAnsi="Tinos" w:eastAsia="Tinos" w:cs="Tinos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sz w:val="24"/>
                <w:szCs w:val="24"/>
                <w:highlight w:val="none"/>
              </w:rPr>
            </w:r>
          </w:p>
          <w:p>
            <w:pPr>
              <w:jc w:val="both"/>
              <w:rPr>
                <w:rFonts w:ascii="Tinos" w:hAnsi="Tinos" w:cs="Tinos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bCs/>
                <w:sz w:val="24"/>
                <w:szCs w:val="24"/>
                <w:highlight w:val="none"/>
              </w:rPr>
              <w:t xml:space="preserve">      Приказ министерства от 10.07.2025 № 460 « Об утверждении Ад</w:t>
            </w:r>
            <w:r>
              <w:rPr>
                <w:rFonts w:ascii="Tinos" w:hAnsi="Tinos" w:eastAsia="Tinos" w:cs="Tinos"/>
                <w:bCs/>
                <w:sz w:val="24"/>
                <w:szCs w:val="24"/>
                <w:highlight w:val="none"/>
              </w:rPr>
              <w:t xml:space="preserve">министративного регламента «Предоставление компенсации стоимости путевки в организации отдыха детей и их оздоровления, расположенные на территории Самарской области, законному представителю ребенка, постоянного проживающего на территории Самарской области»</w:t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1984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Размер компенсации, сроки обращения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W w:w="8895" w:type="dxa"/>
            <w:textDirection w:val="lrTb"/>
            <w:noWrap w:val="false"/>
          </w:tcPr>
          <w:p>
            <w:pPr>
              <w:pStyle w:val="860"/>
              <w:ind w:firstLine="540"/>
              <w:jc w:val="both"/>
              <w:spacing w:before="0" w:beforeAutospacing="0"/>
              <w:rPr>
                <w:rFonts w:ascii="Tinos" w:hAnsi="Tinos" w:cs="Tinos"/>
                <w:b/>
                <w:bCs/>
                <w:sz w:val="26"/>
                <w:szCs w:val="26"/>
                <w:highlight w:val="none"/>
              </w:rPr>
            </w:pPr>
            <w:r>
              <w:rPr>
                <w:rFonts w:ascii="Tinos" w:hAnsi="Tinos" w:cs="Tinos"/>
                <w:b w:val="0"/>
                <w:bCs w:val="0"/>
                <w:sz w:val="26"/>
                <w:szCs w:val="26"/>
                <w:highlight w:val="none"/>
              </w:rPr>
              <w:t xml:space="preserve"> Компенсация предоставляется за приобретенные путевки продолжи-тельностью </w:t>
            </w:r>
            <w:r>
              <w:rPr>
                <w:rFonts w:ascii="Tinos" w:hAnsi="Tinos" w:cs="Tinos"/>
                <w:b/>
                <w:bCs/>
                <w:sz w:val="26"/>
                <w:szCs w:val="26"/>
                <w:highlight w:val="none"/>
              </w:rPr>
              <w:t xml:space="preserve">не менее 14 календарных дней.</w:t>
            </w:r>
            <w:r>
              <w:rPr>
                <w:rFonts w:ascii="Tinos" w:hAnsi="Tinos" w:cs="Tinos"/>
                <w:b/>
                <w:bCs/>
                <w:sz w:val="26"/>
                <w:szCs w:val="26"/>
                <w:highlight w:val="none"/>
              </w:rPr>
            </w:r>
            <w:r>
              <w:rPr>
                <w:rFonts w:ascii="Tinos" w:hAnsi="Tinos" w:cs="Tinos"/>
                <w:b/>
                <w:bCs/>
                <w:sz w:val="26"/>
                <w:szCs w:val="26"/>
                <w:highlight w:val="none"/>
              </w:rPr>
            </w:r>
          </w:p>
          <w:p>
            <w:pPr>
              <w:pStyle w:val="860"/>
              <w:ind w:firstLine="540"/>
              <w:jc w:val="center"/>
              <w:spacing w:before="0" w:beforeAutospacing="0"/>
              <w:rPr>
                <w:rFonts w:ascii="Tinos" w:hAnsi="Tinos" w:cs="Tinos"/>
                <w:b/>
                <w:bCs/>
                <w:sz w:val="26"/>
                <w:szCs w:val="26"/>
                <w:highlight w:val="none"/>
              </w:rPr>
            </w:pPr>
            <w:r>
              <w:rPr>
                <w:rFonts w:ascii="Tinos" w:hAnsi="Tinos" w:cs="Tinos"/>
                <w:b/>
                <w:bCs/>
                <w:sz w:val="26"/>
                <w:szCs w:val="26"/>
                <w:highlight w:val="none"/>
              </w:rPr>
              <w:t xml:space="preserve">Размер компенсации  =</w:t>
            </w:r>
            <w:r>
              <w:rPr>
                <w:rFonts w:ascii="Tinos" w:hAnsi="Tinos" w:cs="Tinos"/>
                <w:b/>
                <w:bCs/>
                <w:sz w:val="26"/>
                <w:szCs w:val="26"/>
                <w:highlight w:val="none"/>
              </w:rPr>
            </w:r>
            <w:r>
              <w:rPr>
                <w:rFonts w:ascii="Tinos" w:hAnsi="Tinos" w:cs="Tinos"/>
                <w:b/>
                <w:bCs/>
                <w:sz w:val="26"/>
                <w:szCs w:val="26"/>
                <w:highlight w:val="none"/>
              </w:rPr>
            </w:r>
          </w:p>
          <w:p>
            <w:pPr>
              <w:pStyle w:val="860"/>
              <w:ind w:firstLine="540"/>
              <w:jc w:val="center"/>
              <w:spacing w:before="0" w:beforeAutospacing="0"/>
              <w:rPr>
                <w:rFonts w:ascii="Tinos" w:hAnsi="Tinos" w:cs="Tinos"/>
                <w:b/>
                <w:bCs/>
                <w:sz w:val="26"/>
                <w:szCs w:val="26"/>
                <w:highlight w:val="none"/>
              </w:rPr>
            </w:pPr>
            <w:r>
              <w:rPr>
                <w:rFonts w:ascii="Tinos" w:hAnsi="Tinos" w:cs="Tinos"/>
                <w:b/>
                <w:bCs/>
                <w:sz w:val="26"/>
                <w:szCs w:val="26"/>
                <w:highlight w:val="none"/>
              </w:rPr>
              <w:t xml:space="preserve">Фактическое количество дней </w:t>
            </w:r>
            <w:r>
              <w:rPr>
                <w:rFonts w:ascii="Tinos" w:hAnsi="Tinos" w:cs="Tinos"/>
                <w:b w:val="0"/>
                <w:bCs w:val="0"/>
                <w:sz w:val="26"/>
                <w:szCs w:val="26"/>
                <w:highlight w:val="none"/>
              </w:rPr>
              <w:t xml:space="preserve">пребывания ребенка, но не более 21 дня  (умножить)</w:t>
            </w:r>
            <w:r>
              <w:rPr>
                <w:rFonts w:ascii="Tinos" w:hAnsi="Tinos" w:cs="Tinos"/>
                <w:b/>
                <w:bCs/>
                <w:sz w:val="26"/>
                <w:szCs w:val="26"/>
                <w:highlight w:val="none"/>
              </w:rPr>
              <w:t xml:space="preserve"> *</w:t>
            </w:r>
            <w:r>
              <w:rPr>
                <w:rFonts w:ascii="Tinos" w:hAnsi="Tinos" w:cs="Tinos"/>
                <w:b/>
                <w:bCs/>
                <w:sz w:val="26"/>
                <w:szCs w:val="26"/>
                <w:highlight w:val="none"/>
              </w:rPr>
            </w:r>
            <w:r>
              <w:rPr>
                <w:rFonts w:ascii="Tinos" w:hAnsi="Tinos" w:cs="Tinos"/>
                <w:b/>
                <w:bCs/>
                <w:sz w:val="26"/>
                <w:szCs w:val="26"/>
                <w:highlight w:val="none"/>
              </w:rPr>
            </w:r>
          </w:p>
          <w:p>
            <w:pPr>
              <w:pStyle w:val="860"/>
              <w:ind w:firstLine="540"/>
              <w:jc w:val="center"/>
              <w:spacing w:before="0" w:beforeAutospacing="0"/>
              <w:rPr>
                <w:rFonts w:ascii="Tinos" w:hAnsi="Tinos" w:cs="Tinos"/>
                <w:b/>
                <w:bCs/>
                <w:sz w:val="26"/>
                <w:szCs w:val="26"/>
                <w:highlight w:val="none"/>
              </w:rPr>
            </w:pPr>
            <w:r>
              <w:rPr>
                <w:rFonts w:ascii="Tinos" w:hAnsi="Tinos" w:cs="Tinos"/>
                <w:b/>
                <w:bCs/>
                <w:sz w:val="26"/>
                <w:szCs w:val="26"/>
                <w:highlight w:val="none"/>
              </w:rPr>
              <w:t xml:space="preserve">Стоимость одного койко-дня, </w:t>
            </w:r>
            <w:r>
              <w:rPr>
                <w:rFonts w:ascii="Tinos" w:hAnsi="Tinos" w:cs="Tinos"/>
                <w:b/>
                <w:bCs/>
                <w:sz w:val="26"/>
                <w:szCs w:val="26"/>
                <w:highlight w:val="none"/>
              </w:rPr>
            </w:r>
            <w:r>
              <w:rPr>
                <w:rFonts w:ascii="Tinos" w:hAnsi="Tinos" w:cs="Tinos"/>
                <w:b/>
                <w:bCs/>
                <w:sz w:val="26"/>
                <w:szCs w:val="26"/>
                <w:highlight w:val="none"/>
              </w:rPr>
            </w:r>
          </w:p>
          <w:p>
            <w:pPr>
              <w:pStyle w:val="860"/>
              <w:ind w:firstLine="540"/>
              <w:jc w:val="center"/>
              <w:spacing w:before="0" w:beforeAutospacing="0"/>
              <w:rPr>
                <w:rFonts w:ascii="Tinos" w:hAnsi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cs="Tinos"/>
                <w:b w:val="0"/>
                <w:bCs w:val="0"/>
                <w:sz w:val="26"/>
                <w:szCs w:val="26"/>
                <w:highlight w:val="none"/>
              </w:rPr>
              <w:t xml:space="preserve">(но не более 50% </w:t>
            </w:r>
            <w:r>
              <w:rPr>
                <w:rFonts w:ascii="Tinos" w:hAnsi="Tinos" w:cs="Tinos"/>
                <w:b/>
                <w:bCs/>
                <w:sz w:val="26"/>
                <w:szCs w:val="26"/>
                <w:highlight w:val="none"/>
              </w:rPr>
              <w:t xml:space="preserve">предельной </w:t>
            </w:r>
            <w:r>
              <w:rPr>
                <w:rFonts w:ascii="Tinos" w:hAnsi="Tinos" w:cs="Tinos"/>
                <w:b w:val="0"/>
                <w:bCs w:val="0"/>
                <w:sz w:val="26"/>
                <w:szCs w:val="26"/>
                <w:highlight w:val="none"/>
              </w:rPr>
              <w:t xml:space="preserve">стоимости койко-дня на одного ребенка,</w:t>
            </w:r>
            <w:r>
              <w:rPr>
                <w:rFonts w:ascii="Tinos" w:hAnsi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pStyle w:val="860"/>
              <w:ind w:firstLine="540"/>
              <w:jc w:val="center"/>
              <w:spacing w:before="0" w:beforeAutospacing="0"/>
              <w:rPr>
                <w:rFonts w:ascii="Tinos" w:hAnsi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cs="Tinos"/>
                <w:b w:val="0"/>
                <w:bCs w:val="0"/>
                <w:sz w:val="26"/>
                <w:szCs w:val="26"/>
                <w:highlight w:val="none"/>
              </w:rPr>
              <w:t xml:space="preserve"> ежегодно  устанавливаемой постановлением Правительства СО, </w:t>
            </w:r>
            <w:r>
              <w:rPr>
                <w:rFonts w:ascii="Tinos" w:hAnsi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pStyle w:val="860"/>
              <w:ind w:firstLine="540"/>
              <w:jc w:val="center"/>
              <w:spacing w:before="0" w:beforeAutospacing="0"/>
              <w:rPr>
                <w:rFonts w:ascii="Tinos" w:hAnsi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cs="Tinos"/>
                <w:b w:val="0"/>
                <w:bCs w:val="0"/>
                <w:sz w:val="26"/>
                <w:szCs w:val="26"/>
                <w:highlight w:val="none"/>
              </w:rPr>
              <w:t xml:space="preserve">в 2025 году    стоимость 1 дня пребывания не более 710,20 рублей,  максимальная  сумма компенсации 710,20 * 21 день= 14914,20 рублей</w:t>
            </w:r>
            <w:r>
              <w:rPr>
                <w:rFonts w:ascii="Tinos" w:hAnsi="Tinos" w:cs="Tinos"/>
                <w:b w:val="0"/>
                <w:bCs w:val="0"/>
                <w:sz w:val="26"/>
                <w:szCs w:val="26"/>
                <w:highlight w:val="none"/>
              </w:rPr>
              <w:t xml:space="preserve">)</w:t>
            </w:r>
            <w:r>
              <w:rPr>
                <w:rFonts w:ascii="Tinos" w:hAnsi="Tinos" w:cs="Tinos"/>
                <w:b w:val="0"/>
                <w:bCs w:val="0"/>
                <w:sz w:val="26"/>
                <w:szCs w:val="26"/>
                <w:highlight w:val="none"/>
              </w:rPr>
              <w:t xml:space="preserve"> </w:t>
            </w:r>
            <w:r>
              <w:rPr>
                <w:rFonts w:ascii="Tinos" w:hAnsi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center"/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Компенсация предоставляется  при условии обращения за ее получением в 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  <w:t xml:space="preserve">течение 1 месяца после предоставления ребенку услуги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 по отдыху и оздоровлению, но 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  <w:t xml:space="preserve">не позднее 30 сентября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текущего календарного года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</w:r>
          </w:p>
        </w:tc>
      </w:tr>
      <w:tr>
        <w:tblPrEx/>
        <w:trPr/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Категории получателей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W w:w="8895" w:type="dxa"/>
            <w:vMerge w:val="restart"/>
            <w:textDirection w:val="lrTb"/>
            <w:noWrap w:val="false"/>
          </w:tcPr>
          <w:p>
            <w:pPr>
              <w:pStyle w:val="857"/>
              <w:jc w:val="both"/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hAnsi="Tinos" w:eastAsia="Tinos" w:cs="Tinos"/>
                <w:sz w:val="26"/>
                <w:szCs w:val="26"/>
              </w:rPr>
              <w:t xml:space="preserve"> Законный представитель  ребенка  (гражданин РФ в возрасте от 6 до 18 лет, постоянно проживающий на территории Самарской области) – родитель, усыновитель, опекун, попечитель, являющийся гражданином РФ</w:t>
            </w:r>
            <w:r>
              <w:rPr>
                <w:rFonts w:ascii="Tinos" w:hAnsi="Tinos" w:cs="Tinos"/>
                <w:sz w:val="28"/>
                <w:szCs w:val="28"/>
              </w:rPr>
            </w:r>
            <w:r>
              <w:rPr>
                <w:rFonts w:ascii="Tinos" w:hAnsi="Tinos" w:cs="Tinos"/>
                <w:sz w:val="28"/>
                <w:szCs w:val="28"/>
              </w:rPr>
            </w:r>
          </w:p>
        </w:tc>
      </w:tr>
      <w:tr>
        <w:tblPrEx/>
        <w:trPr/>
        <w:tc>
          <w:tcPr>
            <w:tcW w:w="1984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Условия получения компенсации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W w:w="8895" w:type="dxa"/>
            <w:textDirection w:val="lrTb"/>
            <w:noWrap w:val="false"/>
          </w:tcPr>
          <w:p>
            <w:pPr>
              <w:jc w:val="both"/>
              <w:rPr>
                <w:rFonts w:ascii="Tinos" w:hAnsi="Tinos" w:eastAsia="Tinos" w:cs="Tinos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 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 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     Компенсируются </w:t>
            </w:r>
            <w:r>
              <w:rPr>
                <w:rFonts w:ascii="Tinos" w:hAnsi="Tinos" w:eastAsia="Tinos" w:cs="Tinos"/>
                <w:sz w:val="26"/>
                <w:szCs w:val="26"/>
                <w:u w:val="single"/>
              </w:rPr>
              <w:t xml:space="preserve">ОДИН РАЗ в ГО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Д  расходы за </w:t>
            </w:r>
            <w:r>
              <w:rPr>
                <w:rFonts w:ascii="Tinos" w:hAnsi="Tinos" w:eastAsia="Tinos" w:cs="Tinos"/>
                <w:sz w:val="26"/>
                <w:szCs w:val="26"/>
                <w:u w:val="single"/>
              </w:rPr>
              <w:t xml:space="preserve">САМОСТОЯТЕЛЬНО приобретенную путевку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 законным представителем</w:t>
            </w:r>
            <w:r>
              <w:rPr>
                <w:rFonts w:ascii="Tinos" w:hAnsi="Tinos" w:eastAsia="Tinos" w:cs="Tinos"/>
                <w:sz w:val="26"/>
                <w:szCs w:val="26"/>
                <w:u w:val="single"/>
              </w:rPr>
              <w:t xml:space="preserve"> ребенка в возрасте от 6 до 18 лет, 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постоянно проживающего на территории Самарской области,</w:t>
            </w:r>
            <w:r>
              <w:rPr>
                <w:rFonts w:ascii="Tinos" w:hAnsi="Tinos" w:eastAsia="Tinos" w:cs="Tinos"/>
                <w:sz w:val="26"/>
                <w:szCs w:val="26"/>
                <w:u w:val="single"/>
              </w:rPr>
              <w:t xml:space="preserve"> в организации, 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предоставляющие услуги по отдыху и оздоровлению, отдыху и досугу детей, с</w:t>
            </w:r>
            <w:r>
              <w:rPr>
                <w:rFonts w:ascii="Tinos" w:hAnsi="Tinos" w:eastAsia="Tinos" w:cs="Tinos"/>
                <w:sz w:val="26"/>
                <w:szCs w:val="26"/>
                <w:u w:val="single"/>
              </w:rPr>
              <w:t xml:space="preserve">остоящие в РЕЕСТРЕ организаций отдыха детей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 и их оздоровления Самарской области, из числа загородных оздоровительных лагерей, санаторных оздоровительных лагерей круглогодичного действия.</w:t>
            </w:r>
            <w:r>
              <w:rPr>
                <w:rFonts w:ascii="Tinos" w:hAnsi="Tinos" w:eastAsia="Tinos" w:cs="Tinos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sz w:val="26"/>
                <w:szCs w:val="26"/>
                <w:highlight w:val="none"/>
              </w:rPr>
            </w:r>
          </w:p>
          <w:p>
            <w:pPr>
              <w:jc w:val="both"/>
              <w:rPr>
                <w:rFonts w:ascii="Tinos" w:hAnsi="Tinos" w:eastAsia="Tinos" w:cs="Tinos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sz w:val="26"/>
                <w:szCs w:val="26"/>
                <w:highlight w:val="none"/>
              </w:rPr>
              <w:t xml:space="preserve">      Компенсация предоставляется на каждого ребенка, соответствующего вышеперечисленным  требованиям.</w:t>
            </w:r>
            <w:r>
              <w:rPr>
                <w:rFonts w:ascii="Tinos" w:hAnsi="Tinos" w:eastAsia="Tinos" w:cs="Tinos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sz w:val="26"/>
                <w:szCs w:val="26"/>
                <w:highlight w:val="none"/>
              </w:rPr>
            </w:r>
          </w:p>
          <w:p>
            <w:pPr>
              <w:jc w:val="both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ascii="Tinos" w:hAnsi="Tinos" w:eastAsia="Tinos" w:cs="Tinos"/>
                <w:sz w:val="26"/>
                <w:szCs w:val="26"/>
                <w:highlight w:val="none"/>
              </w:rPr>
              <w:t xml:space="preserve">      Компенсация НЕ предоставляется за приобретенную путевку в отношении ребенка, который ранее в текущем календарном году </w:t>
            </w:r>
            <w:r>
              <w:rPr>
                <w:rFonts w:ascii="Tinos" w:hAnsi="Tinos" w:eastAsia="Tinos" w:cs="Tinos"/>
                <w:sz w:val="26"/>
                <w:szCs w:val="26"/>
                <w:highlight w:val="none"/>
                <w:u w:val="single"/>
              </w:rPr>
              <w:t xml:space="preserve">был обеспечен</w:t>
            </w:r>
            <w:r>
              <w:rPr>
                <w:rFonts w:ascii="Tinos" w:hAnsi="Tinos" w:eastAsia="Tinos" w:cs="Tinos"/>
                <w:sz w:val="26"/>
                <w:szCs w:val="26"/>
                <w:highlight w:val="none"/>
              </w:rPr>
              <w:t xml:space="preserve"> ЛЬГОТНОЙ путевкой за сет средств бюджета СО, или на которого ранее в текущем году предоставлялась компенсация.</w:t>
            </w:r>
            <w:r>
              <w:rPr>
                <w:rFonts w:ascii="Tinos" w:hAnsi="Tinos" w:cs="Tinos"/>
                <w:sz w:val="26"/>
                <w:szCs w:val="26"/>
              </w:rPr>
            </w:r>
            <w:r>
              <w:rPr>
                <w:rFonts w:ascii="Tinos" w:hAnsi="Tinos" w:cs="Tinos"/>
                <w:sz w:val="26"/>
                <w:szCs w:val="26"/>
              </w:rPr>
            </w:r>
          </w:p>
        </w:tc>
      </w:tr>
      <w:tr>
        <w:tblPrEx/>
        <w:trPr>
          <w:trHeight w:val="229"/>
        </w:trPr>
        <w:tc>
          <w:tcPr>
            <w:tcW w:w="1984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  <w:t xml:space="preserve">Способ подачи заявления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W w:w="8895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  <w:t xml:space="preserve">Лично, либо в электронной форме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</w:r>
          </w:p>
        </w:tc>
      </w:tr>
      <w:tr>
        <w:tblPrEx/>
        <w:trPr/>
        <w:tc>
          <w:tcPr>
            <w:tcW w:w="1984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Необходимые документы (сведения)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 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b/>
                <w:bCs/>
                <w:sz w:val="24"/>
                <w:szCs w:val="24"/>
                <w:highlight w:val="none"/>
              </w:rPr>
              <w:t xml:space="preserve">Сведения со знаком «*» заявитель предоставляет самостоятельно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  <w:t xml:space="preserve">  в течение 2 рабочих дней со дня подачи заявления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W w:w="8895" w:type="dxa"/>
            <w:textDirection w:val="lrTb"/>
            <w:noWrap w:val="false"/>
          </w:tcPr>
          <w:p>
            <w:pPr>
              <w:ind w:left="0" w:firstLine="0"/>
              <w:jc w:val="both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  <w:t xml:space="preserve">    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  <w:t xml:space="preserve">   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  <w:t xml:space="preserve">*1.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 Заявление;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ind w:left="0" w:firstLine="0"/>
              <w:jc w:val="both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  <w:t xml:space="preserve">        *2.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Документ, удостоверяющие личность законного представителя ребенка (при личном обращении);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ind w:left="0" w:firstLine="0"/>
              <w:jc w:val="both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      *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  <w:t xml:space="preserve"> 3.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 Документ,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удостоверяющие личность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ребенка старше 14 лет;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         4. 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СНИЛС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заявителя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ребенка;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  <w:p>
            <w:pPr>
              <w:ind w:left="0" w:firstLine="0"/>
              <w:jc w:val="both"/>
              <w:rPr>
                <w:rFonts w:ascii="Tinos" w:hAnsi="Tinos" w:eastAsia="Tinos" w:cs="Tinos"/>
                <w:b/>
                <w:bCs/>
                <w:color w:val="000000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         5. Сведения о рождении ребенка;</w:t>
            </w:r>
            <w:r>
              <w:rPr>
                <w:rFonts w:ascii="Tinos" w:hAnsi="Tinos" w:eastAsia="Tinos" w:cs="Tinos"/>
                <w:b/>
                <w:bCs/>
                <w:color w:val="000000"/>
                <w:sz w:val="26"/>
                <w:szCs w:val="26"/>
                <w:highlight w:val="none"/>
              </w:rPr>
              <w:t xml:space="preserve"> </w:t>
            </w:r>
            <w:r>
              <w:rPr>
                <w:rFonts w:ascii="Tinos" w:hAnsi="Tinos" w:eastAsia="Tinos" w:cs="Tinos"/>
                <w:b/>
                <w:bCs/>
                <w:color w:val="00000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/>
                <w:bCs/>
                <w:color w:val="000000"/>
                <w:sz w:val="26"/>
                <w:szCs w:val="26"/>
                <w:highlight w:val="none"/>
              </w:rPr>
            </w:r>
          </w:p>
          <w:p>
            <w:pPr>
              <w:ind w:left="0" w:firstLine="0"/>
              <w:jc w:val="both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/>
                <w:bCs/>
                <w:color w:val="000000"/>
                <w:sz w:val="26"/>
                <w:szCs w:val="26"/>
                <w:highlight w:val="none"/>
              </w:rPr>
              <w:t xml:space="preserve">          </w:t>
            </w:r>
            <w:r>
              <w:rPr>
                <w:rFonts w:ascii="Tinos" w:hAnsi="Tinos" w:eastAsia="Tinos" w:cs="Tinos"/>
                <w:b/>
                <w:bCs/>
                <w:color w:val="000000"/>
                <w:sz w:val="26"/>
                <w:szCs w:val="26"/>
                <w:highlight w:val="none"/>
              </w:rPr>
              <w:t xml:space="preserve">*</w:t>
            </w:r>
            <w:r>
              <w:rPr>
                <w:rFonts w:ascii="Tinos" w:hAnsi="Tinos" w:eastAsia="Tinos" w:cs="Tinos"/>
                <w:b w:val="0"/>
                <w:bCs w:val="0"/>
                <w:color w:val="000000"/>
                <w:sz w:val="26"/>
                <w:szCs w:val="26"/>
                <w:highlight w:val="none"/>
              </w:rPr>
              <w:t xml:space="preserve">данные сведения предоставляются заявителем, если   были выданы компетентным органом иностранного государства;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ind w:left="0" w:firstLine="0"/>
              <w:jc w:val="both"/>
              <w:rPr>
                <w:rFonts w:ascii="Tinos" w:hAnsi="Tinos" w:eastAsia="Tinos" w:cs="Tinos"/>
                <w:sz w:val="22"/>
                <w:szCs w:val="22"/>
                <w:highlight w:val="none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         </w:t>
            </w:r>
            <w:r>
              <w:rPr>
                <w:rFonts w:ascii="Tinos" w:hAnsi="Tinos" w:eastAsia="Tinos" w:cs="Tinos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nos" w:hAnsi="Tinos" w:eastAsia="Tinos" w:cs="Tinos"/>
                <w:b/>
                <w:bCs/>
                <w:sz w:val="22"/>
                <w:szCs w:val="22"/>
              </w:rPr>
              <w:t xml:space="preserve"> 6.</w:t>
            </w:r>
            <w:r>
              <w:rPr>
                <w:rFonts w:ascii="Tinos" w:hAnsi="Tinos" w:eastAsia="Tinos" w:cs="Tinos"/>
                <w:sz w:val="26"/>
                <w:szCs w:val="26"/>
                <w:highlight w:val="none"/>
              </w:rPr>
              <w:t xml:space="preserve"> </w:t>
            </w:r>
            <w:r>
              <w:rPr>
                <w:rFonts w:ascii="Tinos" w:hAnsi="Tinos" w:eastAsia="Tinos" w:cs="Tinos"/>
                <w:sz w:val="26"/>
                <w:szCs w:val="26"/>
                <w:highlight w:val="none"/>
              </w:rPr>
              <w:t xml:space="preserve">Сведения   о регистрации по месту жительства   на территории Самарской области </w:t>
            </w:r>
            <w:r>
              <w:rPr>
                <w:rFonts w:ascii="Tinos" w:hAnsi="Tinos" w:eastAsia="Tinos" w:cs="Tinos"/>
                <w:color w:val="000000" w:themeColor="text1"/>
                <w:sz w:val="26"/>
                <w:szCs w:val="26"/>
                <w:highlight w:val="none"/>
                <w:u w:val="none"/>
              </w:rPr>
              <w:t xml:space="preserve">заявителя</w:t>
            </w:r>
            <w:r>
              <w:rPr>
                <w:rFonts w:ascii="Tinos" w:hAnsi="Tinos" w:eastAsia="Tinos" w:cs="Tinos"/>
                <w:color w:val="000000" w:themeColor="text1"/>
                <w:sz w:val="26"/>
                <w:szCs w:val="26"/>
                <w:highlight w:val="none"/>
                <w:u w:val="none"/>
              </w:rPr>
              <w:t xml:space="preserve"> </w:t>
            </w:r>
            <w:r>
              <w:rPr>
                <w:rFonts w:ascii="Tinos" w:hAnsi="Tinos" w:eastAsia="Tinos" w:cs="Tinos"/>
                <w:sz w:val="26"/>
                <w:szCs w:val="26"/>
                <w:highlight w:val="none"/>
                <w:u w:val="none"/>
              </w:rPr>
              <w:t xml:space="preserve">и ребенка</w:t>
            </w:r>
            <w:r>
              <w:rPr>
                <w:rFonts w:ascii="Tinos" w:hAnsi="Tinos" w:eastAsia="Tinos" w:cs="Tinos"/>
                <w:sz w:val="26"/>
                <w:szCs w:val="26"/>
                <w:highlight w:val="none"/>
                <w:u w:val="none"/>
              </w:rPr>
              <w:t xml:space="preserve">;</w:t>
            </w:r>
            <w:r>
              <w:rPr>
                <w:rFonts w:ascii="Tinos" w:hAnsi="Tinos" w:eastAsia="Tinos" w:cs="Tinos"/>
                <w:sz w:val="22"/>
                <w:szCs w:val="22"/>
                <w:highlight w:val="none"/>
              </w:rPr>
            </w:r>
            <w:r>
              <w:rPr>
                <w:rFonts w:ascii="Tinos" w:hAnsi="Tinos" w:eastAsia="Tinos" w:cs="Tinos"/>
                <w:sz w:val="22"/>
                <w:szCs w:val="22"/>
                <w:highlight w:val="none"/>
              </w:rPr>
            </w:r>
          </w:p>
          <w:p>
            <w:pPr>
              <w:pStyle w:val="860"/>
              <w:ind w:left="0" w:firstLine="0"/>
              <w:jc w:val="both"/>
              <w:rPr>
                <w:rFonts w:ascii="Tinos" w:hAnsi="Tinos" w:cs="Tinos"/>
                <w:sz w:val="22"/>
                <w:szCs w:val="22"/>
                <w:highlight w:val="none"/>
              </w:rPr>
            </w:pPr>
            <w:r>
              <w:rPr>
                <w:rFonts w:ascii="Tinos" w:hAnsi="Tinos" w:cs="Tinos"/>
                <w:sz w:val="22"/>
                <w:szCs w:val="22"/>
              </w:rPr>
              <w:t xml:space="preserve">       </w:t>
            </w:r>
            <w:r>
              <w:rPr>
                <w:rFonts w:ascii="Tinos" w:hAnsi="Tinos" w:cs="Tinos"/>
                <w:sz w:val="26"/>
                <w:szCs w:val="26"/>
              </w:rPr>
              <w:t xml:space="preserve">  </w:t>
            </w:r>
            <w:r>
              <w:rPr>
                <w:rFonts w:ascii="Tinos" w:hAnsi="Tinos" w:cs="Tinos"/>
                <w:b/>
                <w:bCs/>
                <w:sz w:val="26"/>
                <w:szCs w:val="26"/>
              </w:rPr>
              <w:t xml:space="preserve"> *</w:t>
            </w:r>
            <w:r>
              <w:rPr>
                <w:rFonts w:ascii="Tinos" w:hAnsi="Tinos" w:cs="Tinos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Tinos" w:hAnsi="Tinos" w:cs="Tinos"/>
                <w:sz w:val="22"/>
                <w:szCs w:val="22"/>
              </w:rPr>
              <w:t xml:space="preserve">в случае отсутствия регистрации  -  документы, подтверждающие факт постоянного  прожив</w:t>
            </w:r>
            <w:r>
              <w:rPr>
                <w:rFonts w:ascii="Tinos" w:hAnsi="Tinos" w:cs="Tinos"/>
                <w:sz w:val="22"/>
                <w:szCs w:val="22"/>
              </w:rPr>
              <w:t xml:space="preserve">ан</w:t>
            </w:r>
            <w:r>
              <w:rPr>
                <w:rFonts w:ascii="Tinos" w:hAnsi="Tinos" w:cs="Tinos"/>
                <w:sz w:val="22"/>
                <w:szCs w:val="22"/>
              </w:rPr>
              <w:t xml:space="preserve">ия (решение суда об установлении факта проживания гражданина на территории муниципального района);</w:t>
            </w:r>
            <w:r>
              <w:rPr>
                <w:rFonts w:ascii="Tinos" w:hAnsi="Tinos" w:cs="Tinos"/>
                <w:sz w:val="22"/>
                <w:szCs w:val="22"/>
                <w:highlight w:val="none"/>
              </w:rPr>
            </w:r>
            <w:r>
              <w:rPr>
                <w:rFonts w:ascii="Tinos" w:hAnsi="Tinos" w:cs="Tinos"/>
                <w:sz w:val="22"/>
                <w:szCs w:val="22"/>
                <w:highlight w:val="none"/>
              </w:rPr>
            </w:r>
          </w:p>
          <w:p>
            <w:pPr>
              <w:pStyle w:val="860"/>
              <w:ind w:left="0" w:firstLine="0"/>
              <w:jc w:val="both"/>
              <w:rPr>
                <w:rFonts w:ascii="Tinos" w:hAnsi="Tinos" w:cs="Tinos"/>
                <w:sz w:val="22"/>
                <w:szCs w:val="22"/>
                <w:highlight w:val="none"/>
              </w:rPr>
            </w:pPr>
            <w:r>
              <w:rPr>
                <w:rFonts w:ascii="Tinos" w:hAnsi="Tinos" w:cs="Tinos"/>
                <w:sz w:val="22"/>
                <w:szCs w:val="22"/>
                <w:highlight w:val="none"/>
              </w:rPr>
              <w:t xml:space="preserve">          7.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сведения  об установлении над ребенком опеки (попечительства)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;</w:t>
            </w:r>
            <w:r>
              <w:rPr>
                <w:rFonts w:ascii="Tinos" w:hAnsi="Tinos" w:cs="Tinos"/>
                <w:sz w:val="22"/>
                <w:szCs w:val="22"/>
                <w:highlight w:val="none"/>
              </w:rPr>
            </w:r>
            <w:r>
              <w:rPr>
                <w:rFonts w:ascii="Tinos" w:hAnsi="Tinos" w:cs="Tinos"/>
                <w:sz w:val="22"/>
                <w:szCs w:val="22"/>
                <w:highlight w:val="none"/>
              </w:rPr>
            </w:r>
          </w:p>
          <w:p>
            <w:pPr>
              <w:ind w:left="-180" w:firstLine="180"/>
              <w:jc w:val="both"/>
              <w:spacing w:after="0" w:line="240" w:lineRule="auto"/>
              <w:rPr>
                <w:rFonts w:ascii="Tinos" w:hAnsi="Tinos" w:eastAsia="Tinos" w:cs="Tinos"/>
                <w:sz w:val="26"/>
                <w:szCs w:val="26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   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  <w:t xml:space="preserve">   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  <w:t xml:space="preserve">   8. 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ведения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 отсутствии факта лишения (ограничения) родительских прав,  о восстановлении в родительских правах, об отмене ограничения в правах  ИЛИ  сведения о нахождении ребенка в организациях для детей-сирот и детей, оставшихся без попечения родителей;  </w:t>
            </w:r>
            <w:r>
              <w:rPr>
                <w:rFonts w:ascii="Tinos" w:hAnsi="Tinos" w:eastAsia="Tinos" w:cs="Tinos"/>
                <w:sz w:val="26"/>
                <w:szCs w:val="26"/>
              </w:rPr>
            </w:r>
            <w:r>
              <w:rPr>
                <w:rFonts w:ascii="Tinos" w:hAnsi="Tinos" w:eastAsia="Tinos" w:cs="Tinos"/>
                <w:sz w:val="26"/>
                <w:szCs w:val="26"/>
              </w:rPr>
            </w:r>
          </w:p>
          <w:p>
            <w:pPr>
              <w:pStyle w:val="8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*9.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оговор на приобретение путевки, либо оказание услуг по организации отдыха ребенка, продолжительностью не менее 14 дней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*10.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окумент, подтверждающий оплату путевки, в том числе посредством онлайн-платежа (оригинал платежных документов, кассовый чек или квитанция к приходному кассовому ордеру или бланк строгой отчетности);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*11.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окумент, подтверждающий пребывание ребенка в организации отдыха (оригинал отрывного талона к путевке, акт выполненных работ) </w:t>
            </w:r>
            <w:r>
              <w:rPr>
                <w:rFonts w:ascii="Tinos" w:hAnsi="Tinos" w:eastAsia="Tinos" w:cs="Tinos"/>
                <w:sz w:val="26"/>
                <w:szCs w:val="26"/>
                <w:highlight w:val="none"/>
              </w:rPr>
              <w:t xml:space="preserve"> является ПУТЕВКА – документ строгой отчетности, соответствующий требованиям Министерства финансов РФ от 10.12.1999 № 90н «Об утверждении бланков строгой отчетности»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  <w:r>
              <w:rPr>
                <w:rFonts w:ascii="Tinos" w:hAnsi="Tinos" w:cs="Tinos"/>
                <w:sz w:val="26"/>
                <w:szCs w:val="26"/>
              </w:rPr>
            </w:r>
            <w:r>
              <w:rPr>
                <w:rFonts w:ascii="Tinos" w:hAnsi="Tinos" w:cs="Tinos"/>
                <w:sz w:val="26"/>
                <w:szCs w:val="26"/>
              </w:rPr>
            </w:r>
          </w:p>
          <w:p>
            <w:pPr>
              <w:pStyle w:val="857"/>
              <w:jc w:val="both"/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*12.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реквизиты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счета законного представителя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открытого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кредитной организации;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  <w:p>
            <w:pPr>
              <w:pStyle w:val="857"/>
              <w:jc w:val="both"/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      13. Сведения о наличии гражданства Российской Федерации у заявителя и ребенка ( данные ЕРН);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  <w:p>
            <w:pPr>
              <w:pStyle w:val="857"/>
              <w:jc w:val="both"/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       14. Сведения о неполучении заявителем компенсации в текущем году ранее в отношении одного и того же ребенка (сведения из ГИС СО НМСПН).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  <w:p>
            <w:pPr>
              <w:pStyle w:val="860"/>
              <w:ind w:left="0" w:firstLine="0"/>
              <w:jc w:val="both"/>
              <w:rPr>
                <w:rFonts w:ascii="Tinos" w:hAnsi="Tinos" w:cs="Tinos"/>
                <w:color w:val="000000" w:themeColor="text1"/>
                <w:sz w:val="26"/>
                <w:szCs w:val="26"/>
                <w:u w:val="none"/>
              </w:rPr>
            </w:pPr>
            <w:r>
              <w:rPr>
                <w:rFonts w:ascii="Tinos" w:hAnsi="Tinos" w:eastAsia="Tinos" w:cs="Tinos"/>
                <w:color w:val="000000" w:themeColor="text1"/>
                <w:sz w:val="26"/>
                <w:szCs w:val="26"/>
                <w:highlight w:val="none"/>
                <w:u w:val="none"/>
              </w:rPr>
              <w:t xml:space="preserve">Заявитель вправе предоставить документы по собственной инициативе.</w:t>
            </w:r>
            <w:r>
              <w:rPr>
                <w:rFonts w:ascii="Tinos" w:hAnsi="Tinos" w:cs="Tinos"/>
                <w:color w:val="000000" w:themeColor="text1"/>
                <w:sz w:val="26"/>
                <w:szCs w:val="26"/>
                <w:u w:val="none"/>
              </w:rPr>
            </w:r>
            <w:r>
              <w:rPr>
                <w:rFonts w:ascii="Tinos" w:hAnsi="Tinos" w:cs="Tinos"/>
                <w:color w:val="000000" w:themeColor="text1"/>
                <w:sz w:val="26"/>
                <w:szCs w:val="26"/>
                <w:u w:val="none"/>
              </w:rPr>
            </w:r>
          </w:p>
          <w:p>
            <w:pPr>
              <w:ind w:left="-180" w:firstLine="180"/>
              <w:jc w:val="both"/>
              <w:spacing w:after="0" w:line="240" w:lineRule="auto"/>
              <w:rPr>
                <w:rFonts w:ascii="Tinos" w:hAnsi="Tinos" w:cs="Tinos"/>
                <w:b/>
                <w:bCs/>
                <w:sz w:val="10"/>
                <w:szCs w:val="10"/>
                <w:u w:val="single"/>
              </w:rPr>
            </w:pPr>
            <w:r>
              <w:rPr>
                <w:rFonts w:ascii="Tinos" w:hAnsi="Tinos" w:eastAsia="Tinos" w:cs="Tinos"/>
                <w:b w:val="0"/>
                <w:bCs w:val="0"/>
                <w:color w:val="000000"/>
                <w:sz w:val="26"/>
                <w:szCs w:val="26"/>
                <w:highlight w:val="none"/>
              </w:rPr>
            </w:r>
            <w:r>
              <w:rPr>
                <w:rFonts w:ascii="Tinos" w:hAnsi="Tinos" w:cs="Tinos"/>
                <w:b/>
                <w:bCs/>
                <w:sz w:val="10"/>
                <w:szCs w:val="10"/>
                <w:u w:val="single"/>
              </w:rPr>
            </w:r>
            <w:r>
              <w:rPr>
                <w:rFonts w:ascii="Tinos" w:hAnsi="Tinos" w:cs="Tinos"/>
                <w:b/>
                <w:bCs/>
                <w:sz w:val="10"/>
                <w:szCs w:val="10"/>
                <w:u w:val="single"/>
              </w:rPr>
            </w:r>
          </w:p>
        </w:tc>
      </w:tr>
      <w:tr>
        <w:tblPrEx/>
        <w:trPr/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0"/>
                <w:szCs w:val="20"/>
                <w:highlight w:val="none"/>
              </w:rPr>
              <w:t xml:space="preserve">Способ получения компенсации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W w:w="8895" w:type="dxa"/>
            <w:vMerge w:val="restart"/>
            <w:textDirection w:val="lrTb"/>
            <w:noWrap w:val="false"/>
          </w:tcPr>
          <w:p>
            <w:pPr>
              <w:pStyle w:val="854"/>
              <w:jc w:val="both"/>
              <w:spacing w:after="0" w:line="240" w:lineRule="auto"/>
              <w:rPr>
                <w:rFonts w:ascii="Tinos" w:hAnsi="Tinos" w:eastAsia="Tinos" w:cs="Tinos"/>
                <w:sz w:val="26"/>
                <w:szCs w:val="26"/>
              </w:rPr>
            </w:pPr>
            <w:r>
              <w:rPr>
                <w:rFonts w:ascii="Tinos" w:hAnsi="Tinos" w:eastAsia="Tinos" w:cs="Tinos"/>
                <w:sz w:val="26"/>
                <w:szCs w:val="26"/>
              </w:rPr>
              <w:t xml:space="preserve"> 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на счет, открытый в кредитной организации или</w:t>
            </w:r>
            <w:r>
              <w:rPr>
                <w:rFonts w:ascii="Tinos" w:hAnsi="Tinos" w:eastAsia="Tinos" w:cs="Tinos"/>
                <w:sz w:val="26"/>
                <w:szCs w:val="26"/>
              </w:rPr>
            </w:r>
            <w:r>
              <w:rPr>
                <w:rFonts w:ascii="Tinos" w:hAnsi="Tinos" w:eastAsia="Tinos" w:cs="Tinos"/>
                <w:sz w:val="26"/>
                <w:szCs w:val="26"/>
              </w:rPr>
            </w:r>
          </w:p>
          <w:p>
            <w:pPr>
              <w:jc w:val="both"/>
              <w:spacing w:after="0" w:line="240" w:lineRule="auto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ascii="Tinos" w:hAnsi="Tinos" w:eastAsia="Tinos" w:cs="Tinos"/>
                <w:sz w:val="26"/>
                <w:szCs w:val="26"/>
              </w:rPr>
              <w:t xml:space="preserve"> через отделение почтовой связи</w:t>
            </w:r>
            <w:r>
              <w:rPr>
                <w:rFonts w:ascii="Tinos" w:hAnsi="Tinos" w:cs="Tinos"/>
                <w:sz w:val="26"/>
                <w:szCs w:val="26"/>
              </w:rPr>
            </w:r>
            <w:r>
              <w:rPr>
                <w:rFonts w:ascii="Tinos" w:hAnsi="Tinos" w:cs="Tinos"/>
                <w:sz w:val="26"/>
                <w:szCs w:val="26"/>
              </w:rPr>
            </w:r>
          </w:p>
        </w:tc>
      </w:tr>
      <w:tr>
        <w:tblPrEx/>
        <w:trPr/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  <w:t xml:space="preserve">Обращаться 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W w:w="889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Управление по м.р. Большеглушицкий ГКУ СО «ГУСЗН Южного округа»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по адресу: 4460180, Самарская область, Большеглушицкий район,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с. Большая Глушица, ул. Гагарина, д.27, каб. 7,15   тел. 8(846 73)  2-13-07, 2-13-08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</w:tr>
    </w:tbl>
    <w:p>
      <w:pPr>
        <w:jc w:val="left"/>
        <w:rPr>
          <w:rFonts w:ascii="Tinos" w:hAnsi="Tinos" w:cs="Tinos"/>
          <w:b w:val="0"/>
          <w:bCs w:val="0"/>
          <w:sz w:val="26"/>
          <w:szCs w:val="26"/>
        </w:rPr>
      </w:pPr>
      <w:r>
        <w:rPr>
          <w:rFonts w:ascii="Tinos" w:hAnsi="Tinos" w:eastAsia="Tinos" w:cs="Tinos"/>
          <w:b w:val="0"/>
          <w:bCs w:val="0"/>
          <w:sz w:val="26"/>
          <w:szCs w:val="26"/>
          <w:highlight w:val="none"/>
        </w:rPr>
      </w:r>
      <w:r>
        <w:rPr>
          <w:rFonts w:ascii="Tinos" w:hAnsi="Tinos" w:cs="Tinos"/>
          <w:b w:val="0"/>
          <w:bCs w:val="0"/>
          <w:sz w:val="26"/>
          <w:szCs w:val="26"/>
        </w:rPr>
      </w:r>
      <w:r>
        <w:rPr>
          <w:rFonts w:ascii="Tinos" w:hAnsi="Tinos" w:cs="Tinos"/>
          <w:b w:val="0"/>
          <w:bCs w:val="0"/>
          <w:sz w:val="26"/>
          <w:szCs w:val="26"/>
        </w:rPr>
      </w:r>
    </w:p>
    <w:sectPr>
      <w:footerReference w:type="default" r:id="rId9"/>
      <w:footnotePr/>
      <w:endnotePr/>
      <w:type w:val="nextPage"/>
      <w:pgSz w:w="11906" w:h="16838" w:orient="portrait"/>
      <w:pgMar w:top="425" w:right="850" w:bottom="283" w:left="992" w:header="709" w:footer="595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inos">
    <w:panose1 w:val="020206030504050203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6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8">
    <w:name w:val="Heading 1"/>
    <w:basedOn w:val="854"/>
    <w:next w:val="854"/>
    <w:link w:val="67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9">
    <w:name w:val="Heading 1 Char"/>
    <w:link w:val="678"/>
    <w:uiPriority w:val="9"/>
    <w:rPr>
      <w:rFonts w:ascii="Arial" w:hAnsi="Arial" w:eastAsia="Arial" w:cs="Arial"/>
      <w:sz w:val="40"/>
      <w:szCs w:val="40"/>
    </w:rPr>
  </w:style>
  <w:style w:type="paragraph" w:styleId="680">
    <w:name w:val="Heading 2"/>
    <w:basedOn w:val="854"/>
    <w:next w:val="854"/>
    <w:link w:val="68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1">
    <w:name w:val="Heading 2 Char"/>
    <w:link w:val="680"/>
    <w:uiPriority w:val="9"/>
    <w:rPr>
      <w:rFonts w:ascii="Arial" w:hAnsi="Arial" w:eastAsia="Arial" w:cs="Arial"/>
      <w:sz w:val="34"/>
    </w:rPr>
  </w:style>
  <w:style w:type="paragraph" w:styleId="682">
    <w:name w:val="Heading 3"/>
    <w:basedOn w:val="854"/>
    <w:next w:val="854"/>
    <w:link w:val="68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3">
    <w:name w:val="Heading 3 Char"/>
    <w:link w:val="682"/>
    <w:uiPriority w:val="9"/>
    <w:rPr>
      <w:rFonts w:ascii="Arial" w:hAnsi="Arial" w:eastAsia="Arial" w:cs="Arial"/>
      <w:sz w:val="30"/>
      <w:szCs w:val="30"/>
    </w:rPr>
  </w:style>
  <w:style w:type="paragraph" w:styleId="684">
    <w:name w:val="Heading 4"/>
    <w:basedOn w:val="854"/>
    <w:next w:val="854"/>
    <w:link w:val="68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5">
    <w:name w:val="Heading 4 Char"/>
    <w:link w:val="684"/>
    <w:uiPriority w:val="9"/>
    <w:rPr>
      <w:rFonts w:ascii="Arial" w:hAnsi="Arial" w:eastAsia="Arial" w:cs="Arial"/>
      <w:b/>
      <w:bCs/>
      <w:sz w:val="26"/>
      <w:szCs w:val="26"/>
    </w:rPr>
  </w:style>
  <w:style w:type="paragraph" w:styleId="686">
    <w:name w:val="Heading 5"/>
    <w:basedOn w:val="854"/>
    <w:next w:val="854"/>
    <w:link w:val="68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7">
    <w:name w:val="Heading 5 Char"/>
    <w:link w:val="686"/>
    <w:uiPriority w:val="9"/>
    <w:rPr>
      <w:rFonts w:ascii="Arial" w:hAnsi="Arial" w:eastAsia="Arial" w:cs="Arial"/>
      <w:b/>
      <w:bCs/>
      <w:sz w:val="24"/>
      <w:szCs w:val="24"/>
    </w:rPr>
  </w:style>
  <w:style w:type="paragraph" w:styleId="688">
    <w:name w:val="Heading 6"/>
    <w:basedOn w:val="854"/>
    <w:next w:val="854"/>
    <w:link w:val="68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9">
    <w:name w:val="Heading 6 Char"/>
    <w:link w:val="688"/>
    <w:uiPriority w:val="9"/>
    <w:rPr>
      <w:rFonts w:ascii="Arial" w:hAnsi="Arial" w:eastAsia="Arial" w:cs="Arial"/>
      <w:b/>
      <w:bCs/>
      <w:sz w:val="22"/>
      <w:szCs w:val="22"/>
    </w:rPr>
  </w:style>
  <w:style w:type="paragraph" w:styleId="690">
    <w:name w:val="Heading 7"/>
    <w:basedOn w:val="854"/>
    <w:next w:val="854"/>
    <w:link w:val="69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1">
    <w:name w:val="Heading 7 Char"/>
    <w:link w:val="69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2">
    <w:name w:val="Heading 8"/>
    <w:basedOn w:val="854"/>
    <w:next w:val="854"/>
    <w:link w:val="69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3">
    <w:name w:val="Heading 8 Char"/>
    <w:link w:val="692"/>
    <w:uiPriority w:val="9"/>
    <w:rPr>
      <w:rFonts w:ascii="Arial" w:hAnsi="Arial" w:eastAsia="Arial" w:cs="Arial"/>
      <w:i/>
      <w:iCs/>
      <w:sz w:val="22"/>
      <w:szCs w:val="22"/>
    </w:rPr>
  </w:style>
  <w:style w:type="paragraph" w:styleId="694">
    <w:name w:val="Heading 9"/>
    <w:basedOn w:val="854"/>
    <w:next w:val="854"/>
    <w:link w:val="69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5">
    <w:name w:val="Heading 9 Char"/>
    <w:link w:val="694"/>
    <w:uiPriority w:val="9"/>
    <w:rPr>
      <w:rFonts w:ascii="Arial" w:hAnsi="Arial" w:eastAsia="Arial" w:cs="Arial"/>
      <w:i/>
      <w:iCs/>
      <w:sz w:val="21"/>
      <w:szCs w:val="21"/>
    </w:rPr>
  </w:style>
  <w:style w:type="paragraph" w:styleId="696">
    <w:name w:val="Title"/>
    <w:basedOn w:val="854"/>
    <w:next w:val="854"/>
    <w:link w:val="69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7">
    <w:name w:val="Title Char"/>
    <w:link w:val="696"/>
    <w:uiPriority w:val="10"/>
    <w:rPr>
      <w:sz w:val="48"/>
      <w:szCs w:val="48"/>
    </w:rPr>
  </w:style>
  <w:style w:type="paragraph" w:styleId="698">
    <w:name w:val="Subtitle"/>
    <w:basedOn w:val="854"/>
    <w:next w:val="854"/>
    <w:link w:val="699"/>
    <w:uiPriority w:val="11"/>
    <w:qFormat/>
    <w:pPr>
      <w:spacing w:before="200" w:after="200"/>
    </w:pPr>
    <w:rPr>
      <w:sz w:val="24"/>
      <w:szCs w:val="24"/>
    </w:rPr>
  </w:style>
  <w:style w:type="character" w:styleId="699">
    <w:name w:val="Subtitle Char"/>
    <w:link w:val="698"/>
    <w:uiPriority w:val="11"/>
    <w:rPr>
      <w:sz w:val="24"/>
      <w:szCs w:val="24"/>
    </w:rPr>
  </w:style>
  <w:style w:type="paragraph" w:styleId="700">
    <w:name w:val="Quote"/>
    <w:basedOn w:val="854"/>
    <w:next w:val="854"/>
    <w:link w:val="701"/>
    <w:uiPriority w:val="29"/>
    <w:qFormat/>
    <w:pPr>
      <w:ind w:left="720" w:right="720"/>
    </w:pPr>
    <w:rPr>
      <w:i/>
    </w:rPr>
  </w:style>
  <w:style w:type="character" w:styleId="701">
    <w:name w:val="Quote Char"/>
    <w:link w:val="700"/>
    <w:uiPriority w:val="29"/>
    <w:rPr>
      <w:i/>
    </w:rPr>
  </w:style>
  <w:style w:type="paragraph" w:styleId="702">
    <w:name w:val="Intense Quote"/>
    <w:basedOn w:val="854"/>
    <w:next w:val="854"/>
    <w:link w:val="70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3">
    <w:name w:val="Intense Quote Char"/>
    <w:link w:val="702"/>
    <w:uiPriority w:val="30"/>
    <w:rPr>
      <w:i/>
    </w:rPr>
  </w:style>
  <w:style w:type="paragraph" w:styleId="704">
    <w:name w:val="Header"/>
    <w:basedOn w:val="854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5">
    <w:name w:val="Header Char"/>
    <w:link w:val="704"/>
    <w:uiPriority w:val="99"/>
  </w:style>
  <w:style w:type="paragraph" w:styleId="706">
    <w:name w:val="Footer"/>
    <w:basedOn w:val="854"/>
    <w:link w:val="70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7">
    <w:name w:val="Footer Char"/>
    <w:link w:val="706"/>
    <w:uiPriority w:val="99"/>
  </w:style>
  <w:style w:type="paragraph" w:styleId="708">
    <w:name w:val="Caption"/>
    <w:basedOn w:val="854"/>
    <w:next w:val="854"/>
    <w:link w:val="70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9">
    <w:name w:val="Caption Char"/>
    <w:basedOn w:val="708"/>
    <w:link w:val="706"/>
    <w:uiPriority w:val="99"/>
  </w:style>
  <w:style w:type="table" w:styleId="710">
    <w:name w:val="Table Grid"/>
    <w:basedOn w:val="85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1">
    <w:name w:val="Table Grid Light"/>
    <w:basedOn w:val="8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2">
    <w:name w:val="Plain Table 1"/>
    <w:basedOn w:val="8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>
    <w:name w:val="Plain Table 2"/>
    <w:basedOn w:val="85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5">
    <w:name w:val="Plain Table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Plain Table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7">
    <w:name w:val="Grid Table 1 Light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4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9">
    <w:name w:val="Grid Table 4 - Accent 1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0">
    <w:name w:val="Grid Table 4 - Accent 2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1">
    <w:name w:val="Grid Table 4 - Accent 3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2">
    <w:name w:val="Grid Table 4 - Accent 4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3">
    <w:name w:val="Grid Table 4 - Accent 5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4">
    <w:name w:val="Grid Table 4 - Accent 6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5">
    <w:name w:val="Grid Table 5 Dark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6">
    <w:name w:val="Grid Table 5 Dark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49">
    <w:name w:val="Grid Table 5 Dark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2">
    <w:name w:val="Grid Table 6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3">
    <w:name w:val="Grid Table 6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4">
    <w:name w:val="Grid Table 6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5">
    <w:name w:val="Grid Table 6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6">
    <w:name w:val="Grid Table 6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7">
    <w:name w:val="Grid Table 6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8">
    <w:name w:val="Grid Table 6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9">
    <w:name w:val="Grid Table 7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4">
    <w:name w:val="List Table 2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5">
    <w:name w:val="List Table 2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6">
    <w:name w:val="List Table 2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7">
    <w:name w:val="List Table 2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8">
    <w:name w:val="List Table 2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9">
    <w:name w:val="List Table 2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0">
    <w:name w:val="List Table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5 Dark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6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2">
    <w:name w:val="List Table 6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3">
    <w:name w:val="List Table 6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4">
    <w:name w:val="List Table 6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5">
    <w:name w:val="List Table 6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6">
    <w:name w:val="List Table 6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7">
    <w:name w:val="List Table 6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8">
    <w:name w:val="List Table 7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9">
    <w:name w:val="List Table 7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10">
    <w:name w:val="List Table 7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1">
    <w:name w:val="List Table 7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2">
    <w:name w:val="List Table 7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3">
    <w:name w:val="List Table 7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14">
    <w:name w:val="List Table 7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5">
    <w:name w:val="Lined - Accent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6">
    <w:name w:val="Lined - Accent 1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7">
    <w:name w:val="Lined - Accent 2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8">
    <w:name w:val="Lined - Accent 3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9">
    <w:name w:val="Lined - Accent 4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0">
    <w:name w:val="Lined - Accent 5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1">
    <w:name w:val="Lined - Accent 6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2">
    <w:name w:val="Bordered &amp; Lined - Accent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3">
    <w:name w:val="Bordered &amp; Lined - Accent 1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4">
    <w:name w:val="Bordered &amp; Lined - Accent 2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5">
    <w:name w:val="Bordered &amp; Lined - Accent 3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6">
    <w:name w:val="Bordered &amp; Lined - Accent 4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7">
    <w:name w:val="Bordered &amp; Lined - Accent 5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8">
    <w:name w:val="Bordered &amp; Lined - Accent 6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9">
    <w:name w:val="Bordered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0">
    <w:name w:val="Bordered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1">
    <w:name w:val="Bordered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2">
    <w:name w:val="Bordered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3">
    <w:name w:val="Bordered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4">
    <w:name w:val="Bordered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5">
    <w:name w:val="Bordered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6">
    <w:name w:val="Hyperlink"/>
    <w:uiPriority w:val="99"/>
    <w:unhideWhenUsed/>
    <w:rPr>
      <w:color w:val="0000ff" w:themeColor="hyperlink"/>
      <w:u w:val="single"/>
    </w:rPr>
  </w:style>
  <w:style w:type="paragraph" w:styleId="837">
    <w:name w:val="footnote text"/>
    <w:basedOn w:val="854"/>
    <w:link w:val="838"/>
    <w:uiPriority w:val="99"/>
    <w:semiHidden/>
    <w:unhideWhenUsed/>
    <w:pPr>
      <w:spacing w:after="40" w:line="240" w:lineRule="auto"/>
    </w:pPr>
    <w:rPr>
      <w:sz w:val="18"/>
    </w:rPr>
  </w:style>
  <w:style w:type="character" w:styleId="838">
    <w:name w:val="Footnote Text Char"/>
    <w:link w:val="837"/>
    <w:uiPriority w:val="99"/>
    <w:rPr>
      <w:sz w:val="18"/>
    </w:rPr>
  </w:style>
  <w:style w:type="character" w:styleId="839">
    <w:name w:val="footnote reference"/>
    <w:uiPriority w:val="99"/>
    <w:unhideWhenUsed/>
    <w:rPr>
      <w:vertAlign w:val="superscript"/>
    </w:rPr>
  </w:style>
  <w:style w:type="paragraph" w:styleId="840">
    <w:name w:val="endnote text"/>
    <w:basedOn w:val="854"/>
    <w:link w:val="841"/>
    <w:uiPriority w:val="99"/>
    <w:semiHidden/>
    <w:unhideWhenUsed/>
    <w:pPr>
      <w:spacing w:after="0" w:line="240" w:lineRule="auto"/>
    </w:pPr>
    <w:rPr>
      <w:sz w:val="20"/>
    </w:rPr>
  </w:style>
  <w:style w:type="character" w:styleId="841">
    <w:name w:val="Endnote Text Char"/>
    <w:link w:val="840"/>
    <w:uiPriority w:val="99"/>
    <w:rPr>
      <w:sz w:val="20"/>
    </w:rPr>
  </w:style>
  <w:style w:type="character" w:styleId="842">
    <w:name w:val="endnote reference"/>
    <w:uiPriority w:val="99"/>
    <w:semiHidden/>
    <w:unhideWhenUsed/>
    <w:rPr>
      <w:vertAlign w:val="superscript"/>
    </w:rPr>
  </w:style>
  <w:style w:type="paragraph" w:styleId="843">
    <w:name w:val="toc 1"/>
    <w:basedOn w:val="854"/>
    <w:next w:val="854"/>
    <w:uiPriority w:val="39"/>
    <w:unhideWhenUsed/>
    <w:pPr>
      <w:ind w:left="0" w:right="0" w:firstLine="0"/>
      <w:spacing w:after="57"/>
    </w:pPr>
  </w:style>
  <w:style w:type="paragraph" w:styleId="844">
    <w:name w:val="toc 2"/>
    <w:basedOn w:val="854"/>
    <w:next w:val="854"/>
    <w:uiPriority w:val="39"/>
    <w:unhideWhenUsed/>
    <w:pPr>
      <w:ind w:left="283" w:right="0" w:firstLine="0"/>
      <w:spacing w:after="57"/>
    </w:pPr>
  </w:style>
  <w:style w:type="paragraph" w:styleId="845">
    <w:name w:val="toc 3"/>
    <w:basedOn w:val="854"/>
    <w:next w:val="854"/>
    <w:uiPriority w:val="39"/>
    <w:unhideWhenUsed/>
    <w:pPr>
      <w:ind w:left="567" w:right="0" w:firstLine="0"/>
      <w:spacing w:after="57"/>
    </w:pPr>
  </w:style>
  <w:style w:type="paragraph" w:styleId="846">
    <w:name w:val="toc 4"/>
    <w:basedOn w:val="854"/>
    <w:next w:val="854"/>
    <w:uiPriority w:val="39"/>
    <w:unhideWhenUsed/>
    <w:pPr>
      <w:ind w:left="850" w:right="0" w:firstLine="0"/>
      <w:spacing w:after="57"/>
    </w:pPr>
  </w:style>
  <w:style w:type="paragraph" w:styleId="847">
    <w:name w:val="toc 5"/>
    <w:basedOn w:val="854"/>
    <w:next w:val="854"/>
    <w:uiPriority w:val="39"/>
    <w:unhideWhenUsed/>
    <w:pPr>
      <w:ind w:left="1134" w:right="0" w:firstLine="0"/>
      <w:spacing w:after="57"/>
    </w:pPr>
  </w:style>
  <w:style w:type="paragraph" w:styleId="848">
    <w:name w:val="toc 6"/>
    <w:basedOn w:val="854"/>
    <w:next w:val="854"/>
    <w:uiPriority w:val="39"/>
    <w:unhideWhenUsed/>
    <w:pPr>
      <w:ind w:left="1417" w:right="0" w:firstLine="0"/>
      <w:spacing w:after="57"/>
    </w:pPr>
  </w:style>
  <w:style w:type="paragraph" w:styleId="849">
    <w:name w:val="toc 7"/>
    <w:basedOn w:val="854"/>
    <w:next w:val="854"/>
    <w:uiPriority w:val="39"/>
    <w:unhideWhenUsed/>
    <w:pPr>
      <w:ind w:left="1701" w:right="0" w:firstLine="0"/>
      <w:spacing w:after="57"/>
    </w:pPr>
  </w:style>
  <w:style w:type="paragraph" w:styleId="850">
    <w:name w:val="toc 8"/>
    <w:basedOn w:val="854"/>
    <w:next w:val="854"/>
    <w:uiPriority w:val="39"/>
    <w:unhideWhenUsed/>
    <w:pPr>
      <w:ind w:left="1984" w:right="0" w:firstLine="0"/>
      <w:spacing w:after="57"/>
    </w:pPr>
  </w:style>
  <w:style w:type="paragraph" w:styleId="851">
    <w:name w:val="toc 9"/>
    <w:basedOn w:val="854"/>
    <w:next w:val="854"/>
    <w:uiPriority w:val="39"/>
    <w:unhideWhenUsed/>
    <w:pPr>
      <w:ind w:left="2268" w:right="0" w:firstLine="0"/>
      <w:spacing w:after="57"/>
    </w:pPr>
  </w:style>
  <w:style w:type="paragraph" w:styleId="852">
    <w:name w:val="TOC Heading"/>
    <w:uiPriority w:val="39"/>
    <w:unhideWhenUsed/>
  </w:style>
  <w:style w:type="paragraph" w:styleId="853">
    <w:name w:val="table of figures"/>
    <w:basedOn w:val="854"/>
    <w:next w:val="854"/>
    <w:uiPriority w:val="99"/>
    <w:unhideWhenUsed/>
    <w:pPr>
      <w:spacing w:after="0" w:afterAutospacing="0"/>
    </w:pPr>
  </w:style>
  <w:style w:type="paragraph" w:styleId="854" w:default="1">
    <w:name w:val="Normal"/>
    <w:qFormat/>
  </w:style>
  <w:style w:type="table" w:styleId="85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6" w:default="1">
    <w:name w:val="No List"/>
    <w:uiPriority w:val="99"/>
    <w:semiHidden/>
    <w:unhideWhenUsed/>
  </w:style>
  <w:style w:type="paragraph" w:styleId="857">
    <w:name w:val="No Spacing"/>
    <w:basedOn w:val="854"/>
    <w:uiPriority w:val="1"/>
    <w:qFormat/>
    <w:pPr>
      <w:spacing w:after="0" w:line="240" w:lineRule="auto"/>
    </w:pPr>
  </w:style>
  <w:style w:type="paragraph" w:styleId="858">
    <w:name w:val="List Paragraph"/>
    <w:basedOn w:val="854"/>
    <w:uiPriority w:val="34"/>
    <w:qFormat/>
    <w:pPr>
      <w:contextualSpacing/>
      <w:ind w:left="720"/>
    </w:pPr>
  </w:style>
  <w:style w:type="character" w:styleId="859" w:default="1">
    <w:name w:val="Default Paragraph Font"/>
    <w:uiPriority w:val="1"/>
    <w:semiHidden/>
    <w:unhideWhenUsed/>
  </w:style>
  <w:style w:type="paragraph" w:styleId="860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cs="Arial" w:eastAsiaTheme="minorEastAsi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861" w:customStyle="1">
    <w:name w:val="docdata"/>
    <w:basedOn w:val="831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expert</cp:lastModifiedBy>
  <cp:revision>18</cp:revision>
  <dcterms:modified xsi:type="dcterms:W3CDTF">2025-07-29T05:48:05Z</dcterms:modified>
</cp:coreProperties>
</file>