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Предоставление ежемесячного социального пособия 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857"/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малоимущим семьям и малоимущим одиноким гражданам,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/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проживающим на территории Самарской области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/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Закон Самарской области от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6 мая 2000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года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№ 16-ГД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 социальной помощи в Самарской области»;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60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Приказ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министерства социально-демографической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семейной политики Самарской области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от 20.12.2012 N 738 «Об утверждении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Административного регламента  по пред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оставлению государственной услуги "Предоставление ежемесячного социального пособия малоимущим семьям и малоимущим одиноким гражданам, проживающим на территории Самарской области"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/>
            <w:r/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rPr>
                <w:rFonts w:ascii="Times New Roman" w:hAnsi="Times New Roman" w:eastAsia="Pragmatica-Bold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Pragmatica-Bold" w:cs="Times New Roman"/>
                <w:sz w:val="28"/>
                <w:szCs w:val="28"/>
                <w:u w:val="none"/>
                <w:lang w:eastAsia="ru-RU"/>
              </w:rPr>
              <w:t xml:space="preserve">Размер социальной помощи н</w:t>
            </w:r>
            <w:r>
              <w:rPr>
                <w:rFonts w:ascii="Times New Roman" w:hAnsi="Times New Roman" w:eastAsia="Pragmatica-Bold" w:cs="Times New Roman"/>
                <w:sz w:val="28"/>
                <w:szCs w:val="28"/>
                <w:u w:val="none"/>
                <w:lang w:eastAsia="ru-RU"/>
              </w:rPr>
              <w:t xml:space="preserve">а одного получателя в месяц  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50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 руб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</w:r>
            <w:r>
              <w:rPr>
                <w:rFonts w:ascii="Times New Roman" w:hAnsi="Times New Roman" w:eastAsia="Pragmatica-Bold" w:cs="Times New Roman"/>
                <w:b/>
                <w:bCs/>
                <w:sz w:val="28"/>
                <w:szCs w:val="28"/>
                <w:u w:val="none"/>
                <w:lang w:eastAsia="ru-RU"/>
              </w:rPr>
            </w:r>
          </w:p>
          <w:p>
            <w:pPr>
              <w:pStyle w:val="85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Размер социальной помощи, оказываемой в виде ежегодного социального пособия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студентам из малоимущих семей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 xml:space="preserve"> 200 руб.</w:t>
            </w:r>
            <w:r>
              <w:rPr>
                <w:rFonts w:ascii="Tinos" w:hAnsi="Tinos" w:eastAsia="Tinos" w:cs="Tinos"/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Категории граждан,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имеющие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право на получение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социальной помощи: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Действие   Закона № 16-ГД распространяется на отдельные категории граждан,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еющих место жительства либо место пребывания на территории Самарской области: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u w:val="single"/>
              </w:rPr>
            </w:r>
          </w:p>
          <w:p>
            <w:pPr>
              <w:jc w:val="both"/>
              <w:spacing w:after="0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bookmarkStart w:id="0" w:name="sub_1129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детьми в возрасте до шестнадцати лет (обучающимися общеобразовательных организаций - до окончания обучения, но не старше восемнадцати лет);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54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детьми (обучающимися профессиональных образовательных организаций, образовательных организаций высшего образования до окончания обучения, но не старше двадцати трех лет), у кото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рых один из родителей является неработающим инвалидом или оба - неработающие пенсионеры (либо лица, достигшие в период с 1 января 2019 года по 31 декабря 2027 года возраста 55 лет и более (женщины), 60 лет и более (мужчины), которым не установлена пенсия);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4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60 лет и более (мужчины), которым не установлена пенсия;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4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54"/>
              <w:jc w:val="both"/>
              <w:spacing w:after="0" w:afterAutospacing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студенты, обучающиеся в профессиональных образовательных организациях, образовательных организациях высшего образовани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осуществляющих образовательную деятельность на территории Самарской области, по основным профессиональным образовательным программам по очной форме обучения за счет бюджетных ассигнований федерального бюджета, бюджета Самарской области, местных бюджетов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Pragmatica-Bold" w:cs="Times New Roman"/>
                <w:sz w:val="26"/>
                <w:szCs w:val="26"/>
                <w:u w:val="none"/>
                <w:lang w:eastAsia="ru-RU"/>
              </w:rPr>
            </w:r>
            <w:r>
              <w:rPr>
                <w:rFonts w:ascii="Times New Roman" w:hAnsi="Times New Roman" w:eastAsia="Pragmatica-Bold" w:cs="Times New Roman"/>
                <w:sz w:val="26"/>
                <w:szCs w:val="26"/>
                <w:u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пособия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afterAutospacing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Pragmatica-Bold" w:cs="Tinos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Социальная помощь оказывается, если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среднедушевой доход  семьи</w:t>
            </w:r>
            <w:r>
              <w:rPr>
                <w:rFonts w:ascii="Tinos" w:hAnsi="Tinos" w:cs="Tinos"/>
                <w:sz w:val="26"/>
                <w:szCs w:val="26"/>
              </w:rPr>
              <w:t xml:space="preserve">  (одиноко проживающего  гражданина)  </w:t>
            </w:r>
            <w:r>
              <w:rPr>
                <w:rFonts w:ascii="Tinos" w:hAnsi="Tinos" w:cs="Tinos"/>
                <w:sz w:val="26"/>
                <w:szCs w:val="26"/>
              </w:rPr>
              <w:t xml:space="preserve">по независящим от них причинам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ниже  величины прожиточного минимума   на   душу населения (16669 руб.),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sz w:val="26"/>
                <w:szCs w:val="26"/>
              </w:rPr>
              <w:t xml:space="preserve">установленного на территории Самарской области</w:t>
            </w:r>
            <w:r>
              <w:rPr>
                <w:rFonts w:ascii="Tinos" w:hAnsi="Tinos" w:cs="Tinos"/>
                <w:sz w:val="26"/>
                <w:szCs w:val="26"/>
              </w:rPr>
              <w:t xml:space="preserve"> на дату обращения за назначением социальной помощи.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Arial" w:cs="Tinos"/>
                <w:b/>
                <w:bCs/>
                <w:color w:val="000000" w:themeColor="text1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Arial" w:cs="Tinos"/>
                <w:b/>
                <w:bCs/>
                <w:color w:val="000000" w:themeColor="text1"/>
                <w:sz w:val="26"/>
                <w:szCs w:val="26"/>
              </w:rPr>
              <w:t xml:space="preserve">В состав семьи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  в целях расчета среднедушевого дохода семьи, </w:t>
            </w:r>
            <w:r>
              <w:rPr>
                <w:rFonts w:ascii="Tinos" w:hAnsi="Tinos" w:eastAsia="Arial" w:cs="Tinos"/>
                <w:b/>
                <w:bCs/>
                <w:color w:val="000000" w:themeColor="text1"/>
                <w:sz w:val="26"/>
                <w:szCs w:val="26"/>
              </w:rPr>
              <w:t xml:space="preserve">включаются заявитель, подавший заяв</w:t>
            </w:r>
            <w:r>
              <w:rPr>
                <w:rFonts w:ascii="Tinos" w:hAnsi="Tinos" w:eastAsia="Arial" w:cs="Tinos"/>
                <w:b/>
                <w:bCs/>
                <w:color w:val="000000" w:themeColor="text1"/>
                <w:sz w:val="26"/>
                <w:szCs w:val="26"/>
              </w:rPr>
              <w:t xml:space="preserve">ление об оказании государственной социальной помощи, супруг (супруга) заявителя, несовершеннолетние дети заявителя, дети, находящиеся под его опекой (попечительством), и его дети в возрасте до 23 лет, 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обучающиеся в общеобразовательной организации, професси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ональной образовательной организации или образовательной организации высшего образования </w:t>
            </w:r>
            <w:r>
              <w:rPr>
                <w:rFonts w:ascii="Tinos" w:hAnsi="Tinos" w:eastAsia="Arial" w:cs="Tinos"/>
                <w:b/>
                <w:bCs/>
                <w:color w:val="000000" w:themeColor="text1"/>
                <w:sz w:val="26"/>
                <w:szCs w:val="26"/>
              </w:rPr>
              <w:t xml:space="preserve">по очной форме обучения</w:t>
            </w:r>
            <w:r>
              <w:rPr>
                <w:rFonts w:ascii="Tinos" w:hAnsi="Tinos" w:eastAsia="Arial" w:cs="Tinos"/>
                <w:color w:val="000000" w:themeColor="text1"/>
                <w:sz w:val="26"/>
                <w:szCs w:val="26"/>
              </w:rPr>
              <w:t xml:space="preserve"> (за исключением обучающихся по дополнительным образовательным программам).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помощь   назначается с месяца обращения на двенадцать календарных месяцев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(год)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после чего документы в полном объеме подлежат обновлению.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социальное пособие студентам из малоимущих семей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не назначается студентам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 случае получения ими иных видов государственной социальной помощи,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HYPERLINK "http://ivo.garant.ru/document?id=80687&amp;sub=0"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>
              <w:rPr>
                <w:rStyle w:val="1_2927"/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 законом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"О государственной социальной помощи".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10   дней после обращения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 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-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паспорт или иной документ, удостоверяющий личность заявителя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и сведения о паспортных данных  детей, достигших возраста 14 лет, и иных совершеннолетних членов семьи заявителя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0"/>
              <w:ind w:firstLine="540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ab/>
              <w:t xml:space="preserve">- документы и  (или) сведения о наличии родственных отношений либо иных обстоятельств, свидетельствующих о принадлежности гражданина к семье заявителя, в том числе: </w:t>
            </w:r>
            <w:r>
              <w:rPr>
                <w:rFonts w:ascii="Tinos" w:hAnsi="Tinos" w:eastAsia="Tinos" w:cs="Tinos"/>
                <w:i/>
                <w:sz w:val="26"/>
                <w:szCs w:val="26"/>
              </w:rPr>
              <w:t xml:space="preserve">сведения о заключении (расторжении) брака, сведения о рождении (смерти), сведения  об установлении опеки (попечительства), об установлении отцовства и иные сведения, свидетельствующие о степени родства членов семьи;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0"/>
              <w:ind w:firstLine="540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- доку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менты и (или) сведения, подтверждающие соо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тветствие семьи (одиноко проживающего гражданина) категориям лиц,   имеющим право на получение социальной помощи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(*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справка учебного заведения, сведения о назначении пенсии, трудовая книжка и (или) сведения о трудовой деятельности, полученные в соответствии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со </w:t>
            </w:r>
            <w:r>
              <w:rPr>
                <w:rFonts w:ascii="Tinos" w:hAnsi="Tinos" w:eastAsia="Tinos" w:cs="Tinos"/>
                <w:sz w:val="26"/>
                <w:szCs w:val="26"/>
              </w:rPr>
              <w:fldChar w:fldCharType="begin"/>
            </w:r>
            <w:r>
              <w:rPr>
                <w:rFonts w:ascii="Tinos" w:hAnsi="Tinos" w:eastAsia="Tinos" w:cs="Tinos"/>
                <w:sz w:val="26"/>
                <w:szCs w:val="26"/>
              </w:rPr>
              <w:instrText xml:space="preserve">HYPERLINK "consultantplus://offline/ref=8D5536C527699CBFDB23DCC61EC48F62042AC8FE7FADBC17B0BD5E8ACF51BA3BB93CC71E39DF0DB183B8B4AA15412B46E5187FD521EBPD73I"</w:instrText>
            </w:r>
            <w:r>
              <w:rPr>
                <w:rFonts w:ascii="Tinos" w:hAnsi="Tinos" w:eastAsia="Tinos" w:cs="Tinos"/>
                <w:sz w:val="26"/>
                <w:szCs w:val="26"/>
              </w:rPr>
              <w:fldChar w:fldCharType="separate"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статьей 66.1</w:t>
            </w:r>
            <w:r>
              <w:rPr>
                <w:rFonts w:ascii="Tinos" w:hAnsi="Tinos" w:eastAsia="Tinos" w:cs="Tinos"/>
                <w:sz w:val="26"/>
                <w:szCs w:val="26"/>
              </w:rPr>
              <w:fldChar w:fldCharType="end"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Трудового кодекса Российской Федерации, сведения об установлении инвалидности и иные документы, удостоверяющие принадлежность к категории);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682"/>
              <w:ind w:left="0" w:right="0" w:firstLine="480"/>
              <w:jc w:val="both"/>
              <w:spacing w:before="0" w:after="240" w:line="240" w:lineRule="auto"/>
              <w:shd w:val="clear" w:color="ffffff" w:fill="ffffff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  <w:lang w:eastAsia="ru-RU"/>
              </w:rPr>
              <w:tab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-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документы и (или)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сведения о доходах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,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п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олучаемых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каждым членом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семьи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(одиноко проживающим гражданином) в денежной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форме (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согласно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fldChar w:fldCharType="begin"/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HYPERLINK "consultantplus://offline/ref=8D5536C527699CBFDB23DCC61EC48F62042ACCFA7DACBC17B0BD5E8ACF51BA3BAB3C9F113BDE13BBD6F7F2FF1AP470I"</w:instrTex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постановлению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за три последних календарных месяца, предшествующих одному календарному месяцу перед месяцем подачи заявления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об оказании государственной социальной помощи 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за  исключением документов и (или) информации, полученных в рамках межведомственного взаимодействия;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bookmarkStart w:id="5" w:name="P119"/>
            <w:r>
              <w:rPr>
                <w:rFonts w:ascii="Tinos" w:hAnsi="Tinos" w:eastAsia="Tinos" w:cs="Tinos"/>
                <w:sz w:val="26"/>
                <w:szCs w:val="26"/>
              </w:rPr>
            </w:r>
            <w:bookmarkEnd w:id="5"/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682"/>
              <w:ind w:left="0" w:right="0" w:firstLine="480"/>
              <w:jc w:val="both"/>
              <w:spacing w:before="0" w:after="240" w:line="240" w:lineRule="auto"/>
              <w:shd w:val="clear" w:color="ffffff" w:fill="ffffff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* -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/>
          </w:p>
        </w:tc>
      </w:tr>
      <w:tr>
        <w:tblPrEx/>
        <w:trPr>
          <w:trHeight w:val="601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10 дней после обращения заявителя и представления  необходимых документов.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-Bold">
    <w:panose1 w:val="02000603000000000000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927" w:customStyle="1">
    <w:name w:val="Гипертекстовая ссылка"/>
    <w:basedOn w:val="834"/>
    <w:next w:val="839"/>
    <w:link w:val="832"/>
    <w:rPr>
      <w:rFonts w:cs="Times New Roman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12</cp:revision>
  <dcterms:modified xsi:type="dcterms:W3CDTF">2025-02-10T12:43:43Z</dcterms:modified>
</cp:coreProperties>
</file>