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Социальная карта </w:t>
      </w:r>
      <w:r>
        <w:rPr>
          <w:rFonts w:ascii="Tinos" w:hAnsi="Tinos" w:cs="Tinos"/>
          <w:b/>
          <w:bCs/>
          <w:sz w:val="32"/>
          <w:szCs w:val="32"/>
        </w:rPr>
        <w:t xml:space="preserve">«Zа Победу!» 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861"/>
        <w:jc w:val="center"/>
        <w:rPr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  <w:t xml:space="preserve">для </w:t>
      </w:r>
      <w:r>
        <w:rPr>
          <w:rFonts w:ascii="Tinos" w:hAnsi="Tinos" w:cs="Tinos"/>
          <w:b/>
          <w:bCs/>
          <w:sz w:val="26"/>
          <w:szCs w:val="26"/>
        </w:rPr>
        <w:t xml:space="preserve"> членов семей участников специальной военной операции  </w:t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1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89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Постановление Правительства Самарской области  от 24.09.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2024 № 698 «Об отдельных вопросах предоставления бесплатного проезда отдельным категориям граждан и об использовании в 2024 году бюджетных ассигнований резервного фонда Правительства Самарской области на приобретение социальных карт и расходных материалов»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 карте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Социальная карта - это именная пластиковая карта, которая предназначена  для реализации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бесплатного проезда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автомобильным транспортом (за  исключением такси) в городском и пригородном сообщении, городским  наземным электрическим транспортом и метрополитено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м, а также пригородным  железнодорожным транспортом в пределах территории Самарской области.</w:t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держателей карты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Социальная  карта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«Zа Победу!»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предоставляется следующим членам семей участников  СВО,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проживающим на территории Самарской  области: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супругам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участников СВО;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вдовам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(вдовцам) участников СВО, не вступившим в повторный брак;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детям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погибших участников)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 (усыновленных), приемных и (или) находящихся под опекой  (попечительством)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старше семи лет и до достижения ими возраста  восемнадцати лет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и (или) двадцати трех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лет при условии их обучения 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по очной форме  обучения;</w:t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  <w:p>
            <w:pPr>
              <w:pStyle w:val="861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родителям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(усыновителям)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погибших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опекунам (попечителям), приемным родителям, патронатным воспитателям, которые осуществляли свои полномочия в отношении участника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 достижения им совершенно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летия, а также лицам, признанным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судом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фактически воспитывавшими и содержавшими участника СВО не менее пяти лет до достижения им совершеннолетия.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 наличии у членов семей участников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одновременно права на бесплатный (льготный) проезд по иным основаниям, предусмотренным действующим законодательством, социальная карта и (или)  льготный (бесплатный) проезд предоставляется по одному из указанных оснований по их выбору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портал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c  сайта министерства выбрав блок «Подача заявлений» в блоке «Прочие»  выбрав  строку «прочие» в блоке «Услуга» выбрав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  «Предоставление социальной карты для отдельных категорий граждан на территории Самарской области»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Необходи-мые документы (сведения) в зависимости  от жизненной ситуации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7 рабочих дней со дня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а)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документ, удостоверяющий личность заявителя (законного  представителя, опекуна (попечителя), в том числе ребенка, достигшего  четырнадцати лет;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б) документ (сведения) о рождении ребенка, в том числе для ребенка  старше четырнадцати лет. Документы (сведения) компетентного органа  иностранного государства должны быть легализованы в порядке,  установленном законодательством РФ,если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иное не  предусмотрено международным договором РФ;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в)сведения (информация) об установлении над ребенком опеки (попечительства), о передаче ребенка на воспитание в приемную семью;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г) сведения (документы) о регистрации по месту жительства  (пребывания) заявителя (законного представителя, опекуна (попечителя), а также участника  СВО.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 случае отсутствия регистраци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и по месту  жительства или пребывания на территории Самарской области представляются иные документы, подтверждающие факт  пребывания на территории Самарской обла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сти: решение суда об установлении  факта проживания на территории Самарской области, договор найма жилого  помещения, договор безвозмездного пользования жилым помещением,  заключенные в соответствии с нормами действующего законодательства;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д) сведения (документы) о заключении (расторжении) брака;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*е)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 гибели участника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(извещение о гибели, смерти (пропаже без вести), выписка из приказа командира воинской части об исключении из списка части в связи с гибелью, смертью (пропажей без вести) при выполнении задач в ход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е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другие документы (при наличии);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ж)сведения (документы) об обучении ребенка (детей) старше  восемнадцати лет при условии его (их) обучения в профессиональной  образовательной организации либо в образовательной организации высшего  образования, осуществляющей образовательную деятельность,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по очной форме  обучения, но не более чем до достижения им (ими) возраста двадцати трех  ле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т (ежегодно в срок до 1 сентября предоставляются или запрашиваются сведения о дальнейшем очном обучении)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з)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(справка), подтверждающие факт участия военнослужащего в выполнении задач в ходе СВО 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справка из воинской части, выписка из приказа по личному составу, выписка из приказа по строевой части, сведения о мобилизации, справка (сведения) из Национального центра управления обороной РФ и другие документы (при наличии)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и) сведения об отсутствии факта лишения родительских прав или  ограничения родительских прав участника СВО в  отношении ребенка (детей), подавшего(их) заявление о предоставлении  социальной карты;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к) сведения об отсутствии факта нахождения ребенка (детей) на полном  государственном обеспечении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 (сведения) о рождении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участни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ка СВО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заявителей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являющихся родителями участника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н)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(сведения) о смене имени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фамилии, отчества участника СВО и (или) члена его семьи;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*о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решение суда о признании лица фактически воспитывавшим и содержавшим участника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(для заявителей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признанных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судом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фактически воспитывавшими и содержавшими участника СВО не менее пяти лет до достижения им совершеннолетия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п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 (сведения)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органа опеки и попечительства,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подтверждающие установление опеки (попечительства)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отношении участника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передачи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его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приемную семью, назначение патронатного воспитателя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 достижения им совершеннолетия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р) сведения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об установлении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участнику СВО инвалидности первой группы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вследствие военной травмы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*с)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заключение военно-врачебные комиссии о наличии причинно-следственной связи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полученного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увечь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(ранени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травм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контузи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), заболевани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 выполнением задач в ходе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*т)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решение суда о подтверждении (установления) факта родства, свойства;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*л)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фотография держателя социальной карты.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Фотография должна соответствовать следующим требованиям: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-цветная фотография держателя социальной карты на светлом фоне, без  ретуши, яркого контрового и бокового света, теней, животных, посторонних  лиц и предметов;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-разрешение фотографии не менее 600 dpi;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-размер изображения овала лица не менее 70 процентов вертикального размера снимка;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-изображение лица на фотографии должно быть в фокусе от кончика подбородка до линии волос и от носа до ушей;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-заявитель изображается строго анфас и смотрящим прямо с нейтральным  выражением и закрытым ртом, глаза должны быть открыты, а волосы не  должны заслонять их;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-изображение лица без головного убора;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-изображение лица без очков (допускается фотография держателя  социальной карты в очках в отношении лиц, постоянно носящих очки, на  фотографии должны быть отчетливо видны глаза).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выдачи карты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10 рабочих дней с даты приема заявления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каб.7,15,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709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2025-02-10T10:11:00Z</dcterms:modified>
</cp:coreProperties>
</file>