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5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eastAsia="Tinos" w:cs="Tinos"/>
          <w:b/>
          <w:bCs/>
          <w:sz w:val="26"/>
          <w:szCs w:val="26"/>
          <w:highlight w:val="none"/>
        </w:rPr>
      </w:r>
      <w:r>
        <w:rPr>
          <w:rFonts w:ascii="Tinos" w:hAnsi="Tinos" w:eastAsia="Tinos" w:cs="Tinos"/>
          <w:b/>
          <w:bCs/>
          <w:sz w:val="26"/>
          <w:szCs w:val="26"/>
        </w:rPr>
        <w:t xml:space="preserve">Единовременная денежная  выплата (по </w:t>
      </w:r>
      <w:r>
        <w:rPr>
          <w:rFonts w:ascii="Tinos" w:hAnsi="Tinos" w:eastAsia="Tinos" w:cs="Tinos"/>
          <w:b/>
          <w:bCs/>
          <w:sz w:val="30"/>
          <w:szCs w:val="30"/>
        </w:rPr>
        <w:t xml:space="preserve">ранению</w:t>
      </w:r>
      <w:r>
        <w:rPr>
          <w:rFonts w:ascii="Tinos" w:hAnsi="Tinos" w:eastAsia="Tinos" w:cs="Tinos"/>
          <w:b/>
          <w:bCs/>
          <w:sz w:val="26"/>
          <w:szCs w:val="26"/>
        </w:rPr>
        <w:t xml:space="preserve">)  отдельным категориям военнослужащих и лиц, проходящих службу в войсках национальной гвардии Российской Федерации, отдельным категориям граждан</w:t>
      </w:r>
      <w:r>
        <w:rPr>
          <w:rFonts w:ascii="Tinos" w:hAnsi="Tinos" w:eastAsia="Tinos" w:cs="Tinos"/>
          <w:b/>
          <w:bCs/>
          <w:sz w:val="26"/>
          <w:szCs w:val="26"/>
          <w:highlight w:val="none"/>
        </w:rPr>
        <w:t xml:space="preserve"> </w:t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p>
      <w:pPr>
        <w:pStyle w:val="855"/>
        <w:jc w:val="center"/>
        <w:rPr>
          <w:rFonts w:ascii="Tinos" w:hAnsi="Tinos" w:cs="Tinos"/>
          <w:b/>
          <w:bCs/>
          <w:sz w:val="26"/>
          <w:szCs w:val="26"/>
          <w:highlight w:val="none"/>
        </w:rPr>
      </w:pP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  <w:r>
        <w:rPr>
          <w:rFonts w:ascii="Tinos" w:hAnsi="Tinos" w:cs="Tinos"/>
          <w:b/>
          <w:bCs/>
          <w:sz w:val="26"/>
          <w:szCs w:val="26"/>
          <w:highlight w:val="none"/>
        </w:rPr>
      </w:r>
    </w:p>
    <w:tbl>
      <w:tblPr>
        <w:tblStyle w:val="708"/>
        <w:tblW w:w="0" w:type="auto"/>
        <w:tblInd w:w="-425" w:type="dxa"/>
        <w:tblLayout w:type="fixed"/>
        <w:tblLook w:val="04A0" w:firstRow="1" w:lastRow="0" w:firstColumn="1" w:lastColumn="0" w:noHBand="0" w:noVBand="1"/>
      </w:tblPr>
      <w:tblGrid>
        <w:gridCol w:w="1984"/>
        <w:gridCol w:w="8895"/>
      </w:tblGrid>
      <w:tr>
        <w:tblPrEx/>
        <w:trPr>
          <w:trHeight w:val="1593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Нормативные акты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b w:val="0"/>
                <w:bCs/>
                <w:sz w:val="26"/>
                <w:szCs w:val="26"/>
              </w:rPr>
              <w:t xml:space="preserve">    </w:t>
            </w:r>
            <w:r>
              <w:rPr>
                <w:rFonts w:ascii="Tinos" w:hAnsi="Tinos" w:eastAsia="Tinos" w:cs="Tinos"/>
                <w:b w:val="0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Постановление Губернатора Самарской области от 21.06.2024    № 243 «О  </w:t>
            </w:r>
            <w:r>
              <w:rPr>
                <w:rFonts w:ascii="Tinos" w:hAnsi="Tinos" w:eastAsia="Tinos" w:cs="Tinos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предоставлении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в 202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4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году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единовременн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ой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денежн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ой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выплат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ы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отдельным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категориям военнослужащих и лиц, проходящих службу в войсках национальной гвардии Российской Федерации, отдельным категориям граждан», 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Приказ министерства социально-демографической и семейной политики Самарской области от 09.07.2024 № 484 «Об утверждении порядка и условий предоставления....»</w:t>
            </w:r>
            <w:r>
              <w:rPr>
                <w:rFonts w:ascii="Tinos" w:hAnsi="Tinos" w:eastAsia="Tinos" w:cs="Tinos"/>
                <w:bCs/>
                <w:sz w:val="24"/>
                <w:szCs w:val="24"/>
              </w:rPr>
              <w:t xml:space="preserve"> </w:t>
            </w:r>
            <w:r>
              <w:rPr>
                <w:rFonts w:ascii="Tinos" w:hAnsi="Tinos" w:cs="Tinos"/>
                <w:sz w:val="24"/>
                <w:szCs w:val="24"/>
              </w:rPr>
            </w:r>
            <w:r>
              <w:rPr>
                <w:rFonts w:ascii="Tinos" w:hAnsi="Tinos" w:cs="Tinos"/>
                <w:sz w:val="24"/>
                <w:szCs w:val="24"/>
              </w:rPr>
            </w:r>
          </w:p>
        </w:tc>
      </w:tr>
      <w:tr>
        <w:tblPrEx/>
        <w:trPr>
          <w:trHeight w:val="8998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Категории граждан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, имеющих право на выплату 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размер выплаты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диновременн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ая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денежн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ая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выплат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а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предоставля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тся </w:t>
            </w:r>
            <w:r>
              <w:rPr>
                <w:rFonts w:ascii="Tinos" w:hAnsi="Tinos" w:eastAsia="Tinos" w:cs="Tinos"/>
                <w:bCs/>
                <w:sz w:val="26"/>
                <w:szCs w:val="26"/>
                <w:u w:val="single"/>
              </w:rPr>
              <w:t xml:space="preserve">проживающим (проживавшим) на территории Самарской области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гражданам, проходящим (проходившим) военную службу в Вооруженных Силах РФ,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при условии их участия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СВО,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гражданам, призванным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на военную службу по мобилизации, 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заключившим контракт о добровольном содействии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выполнении задач, возложенных на Вооруженные Силы РФ: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 а)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участнику СВО, получившему тяжкое увечье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(ранение, травму, контузию) в ходе СВО, или инвалиду 1 группы вследствие военной т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равмы, полученной в ходе СВО, или инвалиду 1 группы вследствие увечья (ранения, травмы, контузии) или заболевания, полученных в связи с исполнением обязанностей по контракту о пребывании в добровольческом формировании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размере 500 000руб.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; 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 б)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участнику СВО, получившему увечье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(ранение, травму, контузию)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средней тяжести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в ходе СВО, или инвал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иду 2 группы вследствие военной травмы, полученной в ходе СВО или инвалиду 2 группы вследствие увечья,  полученного в связи с исполнением обязанностей по контракту о пребывании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добровольческом формировании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размере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250 000 руб.;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в)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участнику СВО, получившему легкое увечье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(ранение, травму, контуз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ию) в ходе СВО, или инвалиду 3 группы вследствие военной травмы, полученной в ходе СВО или инвалиду 3 группы вследствие увечья  полученного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связи с исполнением обязанностей по контракту о пребывании </w:t>
            </w:r>
            <w:r>
              <w:rPr>
                <w:rFonts w:ascii="Tinos" w:hAnsi="Tinos" w:eastAsia="Tinos" w:cs="Tinos"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добровольческом формировании в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размере 100 000 руб.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; </w:t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  <w:t xml:space="preserve">       г)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участнику СВО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получившему   увечье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(ранение, травму, контузию),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не входящее в Перечень увечий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, относящихся к тяжелым или легким,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без подтверждения степени тяжести в размере 100 000 руб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Член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ы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семьи участника СВО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вправе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получить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выплат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 связи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с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полученным им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ходе СВО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увечьем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(ранени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ем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травм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ой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контузи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)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</w:t>
              <w:br/>
              <w:t xml:space="preserve">в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случае если за ее получением такой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участник СВО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не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обратился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 связи с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о своей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гибелью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(пропаж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ей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без вести)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в равных долях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.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Условия получения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rPr>
                <w:rFonts w:ascii="Tinos" w:hAnsi="Tinos" w:cs="Tinos"/>
                <w:color w:val="000000"/>
                <w:sz w:val="26"/>
                <w:szCs w:val="26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Предоставление  выплаты осуществляется путем перечисления денежных средств на счет получателя, открытый им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кредитной организации.</w:t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  <w:r>
              <w:rPr>
                <w:rFonts w:ascii="Tinos" w:hAnsi="Tinos" w:cs="Tinos"/>
                <w:color w:val="000000"/>
                <w:sz w:val="26"/>
                <w:szCs w:val="26"/>
              </w:rPr>
            </w:r>
          </w:p>
        </w:tc>
      </w:tr>
      <w:tr>
        <w:tblPrEx/>
        <w:trPr>
          <w:trHeight w:val="495"/>
        </w:trPr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Способ подачи заявления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Лично, 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либо через</w:t>
            </w:r>
            <w:r>
              <w:rPr>
                <w:rFonts w:ascii="Tinos" w:hAnsi="Tinos" w:eastAsia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  <w:t xml:space="preserve"> социальный портал министерства</w:t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color w:val="000000" w:themeColor="text1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Необходимые документы (сведения) в зависимости от жизненной ситуации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sz w:val="26"/>
                <w:szCs w:val="26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случае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подачи заявления и документов,  </w:t>
              <w:br/>
              <w:t xml:space="preserve">в электронном виде 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течение 5 рабочих дней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после дня их подачи представ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ляют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</w:p>
          <w:p>
            <w:pPr>
              <w:jc w:val="left"/>
              <w:rPr>
                <w:rFonts w:ascii="Tinos" w:hAnsi="Tinos" w:eastAsia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ся их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подлинники  </w:t>
            </w:r>
            <w:r>
              <w:rPr>
                <w:rFonts w:ascii="Tinos" w:hAnsi="Tinos" w:eastAsia="Tinos" w:cs="Tinos"/>
                <w:sz w:val="26"/>
                <w:szCs w:val="26"/>
              </w:rPr>
            </w:r>
            <w:r/>
          </w:p>
        </w:tc>
        <w:tc>
          <w:tcPr>
            <w:tcW w:w="8895" w:type="dxa"/>
            <w:textDirection w:val="lrTb"/>
            <w:noWrap w:val="false"/>
          </w:tcPr>
          <w:p>
            <w:pPr>
              <w:pStyle w:val="855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Участник СВО вместе с заявлением предоставляет: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1)документ, удостоверяющий личность заявителя (представителя заявителя), при личном обращении в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уполномоченный орган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2)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случае отсутствия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сведени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регистрации по месту жительства (пребывания)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на территории Самарской области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иные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документ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ы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подтверждающие факт пребывания на территории Самарской области (решение суда об установлении факта проживания на территории Самарской области,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договор найма жилого помещения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)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bCs/>
                <w:sz w:val="26"/>
                <w:szCs w:val="26"/>
              </w:rPr>
            </w:r>
            <w:r>
              <w:rPr>
                <w:rFonts w:ascii="Tinos" w:hAnsi="Tinos" w:cs="Tinos"/>
                <w:bCs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 3)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сведения, подтверждающие участие гражданина в СВО, проводимой с 24.02.2022  (справка из воинской части,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выписка из приказа по личному составу воинской части,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иные документы (сведения), подтверждающие участие в СВО,  справка  Минобороны РФ 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4)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копии документов военного медицинского учреждения с указанием степени тяжести полученного увечья  или о том, что полученное увечье  не входит в Перечень увечий (по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ост. Правительства РФ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от 29.07.1998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№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855) (копии справок госпиталей, копия заключения военно-врачебной комиссии);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5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копии документов военно-медицинских учреждений, медицинских учреждений (центральных, городских, районных больниц, ведомственных больниц, специализированных и т.п.),   с указанием даты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ранения, травмы, контузии без подтверждения степени тяжести, проведенного лечения, подписанных руководителем учреждения, заверенных печатью учреждения (копия справки медицинского учреждения, копии выписного эпикриза, переводного эпикриза, эпикриза и др.);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6) справка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бюро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медико-социальной экспертизы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об установлении инвалидности вследствие военной травмы или заболевания, полученного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связи с исполнением обязанностей по контракту о пребывании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добровольческом формировании, 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признанных инвалидами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;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  <w:r>
              <w:rPr>
                <w:rFonts w:ascii="Tinos" w:hAnsi="Tinos" w:cs="Tinos"/>
                <w:sz w:val="26"/>
                <w:szCs w:val="26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Членами семьи дополнительно </w:t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</w:rPr>
              <w:t xml:space="preserve">представляются:</w:t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/>
                <w:bCs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8"/>
                <w:szCs w:val="28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7) справка организации, осуществляющей образовательную деятельность, об обучении детей в возрасте от 18 до 23 лет с указанием даты зачисления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на обучение;</w:t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  <w:r>
              <w:rPr>
                <w:rFonts w:ascii="Tinos" w:hAnsi="Tinos" w:cs="Tinos"/>
                <w:sz w:val="28"/>
                <w:szCs w:val="28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8) решение суда о признании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лица фактически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воспита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вшим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и содержавшим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участника СВО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погибшего (пропавшего без вести) в ходе СВО или умершего;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9)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копии документов (сведений) из воинской части либо военного комиссариата, подтверждающих, что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участник 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принимал участие в СВО, погиб (умер, пропал без вести) в ходе проведения СВО;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 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10)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сведения о государственной регистрации рождения, брака, смерти, в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случае их отсутствия в Едином государственном реестре записей актов гражданского состояния;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  <w:highlight w:val="none"/>
              </w:rPr>
              <w:t xml:space="preserve">     11)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сведения об установлении ребенку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группы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инвалидности до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достижения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br/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им возраста 18 лет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в случае отсутствия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сведений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в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ГИС ЕЦП.</w:t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  <w:r>
              <w:rPr>
                <w:rFonts w:ascii="Tinos" w:hAnsi="Tinos" w:cs="Tinos"/>
                <w:sz w:val="24"/>
                <w:szCs w:val="24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  <w:t xml:space="preserve"> </w:t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/>
                <w:bCs/>
                <w:sz w:val="26"/>
                <w:szCs w:val="26"/>
                <w:highlight w:val="none"/>
              </w:rPr>
              <w:t xml:space="preserve">      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Для назначения</w:t>
            </w:r>
            <w:r>
              <w:rPr>
                <w:rFonts w:ascii="Tinos" w:hAnsi="Tinos" w:eastAsia="Tinos" w:cs="Tinos"/>
                <w:b w:val="0"/>
                <w:bCs w:val="0"/>
                <w:color w:val="000000"/>
                <w:sz w:val="26"/>
                <w:szCs w:val="26"/>
              </w:rPr>
              <w:t xml:space="preserve"> выплаты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также необходимы  сведения, которые запрашиваются Управлением  в рамках межведомственного взаимодействия: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pStyle w:val="855"/>
              <w:jc w:val="both"/>
              <w:rPr>
                <w:rFonts w:ascii="Tinos" w:hAnsi="Tinos" w:cs="Tinos"/>
                <w:bCs/>
                <w:sz w:val="28"/>
                <w:szCs w:val="28"/>
              </w:rPr>
            </w:pP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       справки о членах семьи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участника СВО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, погибшего (пропавшего без вести) в ходе  СВО или умершего - из военного комиссариата или войсковой части, пункта отбора на военную службу </w:t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  <w:t xml:space="preserve">по контракту.</w:t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eastAsia="Tinos" w:cs="Tinos"/>
                <w:bCs/>
                <w:sz w:val="26"/>
                <w:szCs w:val="26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  <w:r>
              <w:rPr>
                <w:rFonts w:ascii="Tinos" w:hAnsi="Tinos" w:cs="Tinos"/>
                <w:bCs/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  <w:t xml:space="preserve">Срок принятия решения</w:t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4"/>
                <w:szCs w:val="24"/>
                <w:highlight w:val="none"/>
              </w:rPr>
            </w:r>
          </w:p>
        </w:tc>
        <w:tc>
          <w:tcPr>
            <w:tcW w:w="8895" w:type="dxa"/>
            <w:textDirection w:val="lrTb"/>
            <w:noWrap w:val="false"/>
          </w:tcPr>
          <w:p>
            <w:pPr>
              <w:jc w:val="left"/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t xml:space="preserve"> </w:t>
            </w:r>
            <w:r>
              <w:rPr>
                <w:rFonts w:ascii="Tinos" w:hAnsi="Tinos" w:eastAsia="Tinos" w:cs="Tinos"/>
                <w:sz w:val="26"/>
                <w:szCs w:val="26"/>
              </w:rPr>
              <w:t xml:space="preserve">В течение 30 дней со дня регистрации заявления и  документов, которые заявитель должен предоставить самостоятельно </w:t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  <w:tr>
        <w:tblPrEx/>
        <w:trPr/>
        <w:tc>
          <w:tcPr>
            <w:tcW w:w="1984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  <w:t xml:space="preserve">Обращаться </w:t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2"/>
                <w:szCs w:val="22"/>
                <w:highlight w:val="none"/>
              </w:rPr>
            </w:r>
          </w:p>
        </w:tc>
        <w:tc>
          <w:tcPr>
            <w:tcW w:w="8895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Управление по м.р. Большеглушицкий ГКУ СО «ГУСЗН Южного округа» 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по адресу: 4460180, Самарская область, Большеглушицкий район,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  <w:p>
            <w:pPr>
              <w:jc w:val="left"/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pP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  <w:t xml:space="preserve"> с. Большая Глушица, ул. Гагарина, д.27, каб.18, тел. 8(846 73)  2-22-61</w:t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  <w:r>
              <w:rPr>
                <w:rFonts w:ascii="Tinos" w:hAnsi="Tinos" w:eastAsia="Tinos" w:cs="Tinos"/>
                <w:b w:val="0"/>
                <w:bCs w:val="0"/>
                <w:sz w:val="26"/>
                <w:szCs w:val="26"/>
                <w:highlight w:val="none"/>
              </w:rPr>
            </w:r>
          </w:p>
        </w:tc>
      </w:tr>
    </w:tbl>
    <w:p>
      <w:pPr>
        <w:jc w:val="left"/>
        <w:rPr>
          <w:rFonts w:ascii="Tinos" w:hAnsi="Tinos" w:cs="Tinos"/>
          <w:b w:val="0"/>
          <w:bCs w:val="0"/>
          <w:sz w:val="26"/>
          <w:szCs w:val="26"/>
        </w:rPr>
      </w:pPr>
      <w:r>
        <w:rPr>
          <w:rFonts w:ascii="Tinos" w:hAnsi="Tinos" w:eastAsia="Tinos" w:cs="Tinos"/>
          <w:b w:val="0"/>
          <w:bCs w:val="0"/>
          <w:sz w:val="26"/>
          <w:szCs w:val="26"/>
          <w:highlight w:val="none"/>
        </w:rPr>
      </w:r>
      <w:r>
        <w:rPr>
          <w:rFonts w:ascii="Tinos" w:hAnsi="Tinos" w:cs="Tinos"/>
          <w:b w:val="0"/>
          <w:bCs w:val="0"/>
          <w:sz w:val="26"/>
          <w:szCs w:val="26"/>
        </w:rPr>
      </w:r>
      <w:r>
        <w:rPr>
          <w:rFonts w:ascii="Tinos" w:hAnsi="Tinos" w:cs="Tinos"/>
          <w:b w:val="0"/>
          <w:bCs w:val="0"/>
          <w:sz w:val="26"/>
          <w:szCs w:val="26"/>
        </w:rPr>
      </w:r>
    </w:p>
    <w:sectPr>
      <w:footerReference w:type="default" r:id="rId9"/>
      <w:footnotePr/>
      <w:endnotePr/>
      <w:type w:val="nextPage"/>
      <w:pgSz w:w="11906" w:h="16838" w:orient="portrait"/>
      <w:pgMar w:top="425" w:right="850" w:bottom="283" w:left="992" w:header="709" w:footer="59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6">
    <w:name w:val="Heading 1"/>
    <w:basedOn w:val="852"/>
    <w:next w:val="852"/>
    <w:link w:val="67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7">
    <w:name w:val="Heading 1 Char"/>
    <w:link w:val="676"/>
    <w:uiPriority w:val="9"/>
    <w:rPr>
      <w:rFonts w:ascii="Arial" w:hAnsi="Arial" w:eastAsia="Arial" w:cs="Arial"/>
      <w:sz w:val="40"/>
      <w:szCs w:val="40"/>
    </w:rPr>
  </w:style>
  <w:style w:type="paragraph" w:styleId="678">
    <w:name w:val="Heading 2"/>
    <w:basedOn w:val="852"/>
    <w:next w:val="852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>
    <w:name w:val="Heading 2 Char"/>
    <w:link w:val="678"/>
    <w:uiPriority w:val="9"/>
    <w:rPr>
      <w:rFonts w:ascii="Arial" w:hAnsi="Arial" w:eastAsia="Arial" w:cs="Arial"/>
      <w:sz w:val="34"/>
    </w:rPr>
  </w:style>
  <w:style w:type="paragraph" w:styleId="680">
    <w:name w:val="Heading 3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1">
    <w:name w:val="Heading 3 Char"/>
    <w:link w:val="680"/>
    <w:uiPriority w:val="9"/>
    <w:rPr>
      <w:rFonts w:ascii="Arial" w:hAnsi="Arial" w:eastAsia="Arial" w:cs="Arial"/>
      <w:sz w:val="30"/>
      <w:szCs w:val="30"/>
    </w:rPr>
  </w:style>
  <w:style w:type="paragraph" w:styleId="682">
    <w:name w:val="Heading 4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3">
    <w:name w:val="Heading 4 Char"/>
    <w:link w:val="682"/>
    <w:uiPriority w:val="9"/>
    <w:rPr>
      <w:rFonts w:ascii="Arial" w:hAnsi="Arial" w:eastAsia="Arial" w:cs="Arial"/>
      <w:b/>
      <w:bCs/>
      <w:sz w:val="26"/>
      <w:szCs w:val="26"/>
    </w:rPr>
  </w:style>
  <w:style w:type="paragraph" w:styleId="684">
    <w:name w:val="Heading 5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5">
    <w:name w:val="Heading 5 Char"/>
    <w:link w:val="684"/>
    <w:uiPriority w:val="9"/>
    <w:rPr>
      <w:rFonts w:ascii="Arial" w:hAnsi="Arial" w:eastAsia="Arial" w:cs="Arial"/>
      <w:b/>
      <w:bCs/>
      <w:sz w:val="24"/>
      <w:szCs w:val="24"/>
    </w:rPr>
  </w:style>
  <w:style w:type="paragraph" w:styleId="686">
    <w:name w:val="Heading 6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7">
    <w:name w:val="Heading 6 Char"/>
    <w:link w:val="686"/>
    <w:uiPriority w:val="9"/>
    <w:rPr>
      <w:rFonts w:ascii="Arial" w:hAnsi="Arial" w:eastAsia="Arial" w:cs="Arial"/>
      <w:b/>
      <w:bCs/>
      <w:sz w:val="22"/>
      <w:szCs w:val="22"/>
    </w:rPr>
  </w:style>
  <w:style w:type="paragraph" w:styleId="688">
    <w:name w:val="Heading 7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9">
    <w:name w:val="Heading 7 Char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0">
    <w:name w:val="Heading 8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1">
    <w:name w:val="Heading 8 Char"/>
    <w:link w:val="690"/>
    <w:uiPriority w:val="9"/>
    <w:rPr>
      <w:rFonts w:ascii="Arial" w:hAnsi="Arial" w:eastAsia="Arial" w:cs="Arial"/>
      <w:i/>
      <w:iCs/>
      <w:sz w:val="22"/>
      <w:szCs w:val="22"/>
    </w:rPr>
  </w:style>
  <w:style w:type="paragraph" w:styleId="692">
    <w:name w:val="Heading 9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3">
    <w:name w:val="Heading 9 Char"/>
    <w:link w:val="692"/>
    <w:uiPriority w:val="9"/>
    <w:rPr>
      <w:rFonts w:ascii="Arial" w:hAnsi="Arial" w:eastAsia="Arial" w:cs="Arial"/>
      <w:i/>
      <w:iCs/>
      <w:sz w:val="21"/>
      <w:szCs w:val="21"/>
    </w:rPr>
  </w:style>
  <w:style w:type="paragraph" w:styleId="694">
    <w:name w:val="Title"/>
    <w:basedOn w:val="852"/>
    <w:next w:val="852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>
    <w:name w:val="Title Char"/>
    <w:link w:val="694"/>
    <w:uiPriority w:val="10"/>
    <w:rPr>
      <w:sz w:val="48"/>
      <w:szCs w:val="48"/>
    </w:rPr>
  </w:style>
  <w:style w:type="paragraph" w:styleId="696">
    <w:name w:val="Subtitle"/>
    <w:basedOn w:val="852"/>
    <w:next w:val="852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>
    <w:name w:val="Subtitle Char"/>
    <w:link w:val="696"/>
    <w:uiPriority w:val="11"/>
    <w:rPr>
      <w:sz w:val="24"/>
      <w:szCs w:val="24"/>
    </w:rPr>
  </w:style>
  <w:style w:type="paragraph" w:styleId="698">
    <w:name w:val="Quote"/>
    <w:basedOn w:val="852"/>
    <w:next w:val="852"/>
    <w:link w:val="699"/>
    <w:uiPriority w:val="29"/>
    <w:qFormat/>
    <w:pPr>
      <w:ind w:left="720" w:right="720"/>
    </w:pPr>
    <w:rPr>
      <w:i/>
    </w:rPr>
  </w:style>
  <w:style w:type="character" w:styleId="699">
    <w:name w:val="Quote Char"/>
    <w:link w:val="698"/>
    <w:uiPriority w:val="29"/>
    <w:rPr>
      <w:i/>
    </w:rPr>
  </w:style>
  <w:style w:type="paragraph" w:styleId="700">
    <w:name w:val="Intense Quote"/>
    <w:basedOn w:val="852"/>
    <w:next w:val="852"/>
    <w:link w:val="7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>
    <w:name w:val="Intense Quote Char"/>
    <w:link w:val="700"/>
    <w:uiPriority w:val="30"/>
    <w:rPr>
      <w:i/>
    </w:rPr>
  </w:style>
  <w:style w:type="paragraph" w:styleId="702">
    <w:name w:val="Header"/>
    <w:basedOn w:val="852"/>
    <w:link w:val="7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3">
    <w:name w:val="Header Char"/>
    <w:link w:val="702"/>
    <w:uiPriority w:val="99"/>
  </w:style>
  <w:style w:type="paragraph" w:styleId="704">
    <w:name w:val="Footer"/>
    <w:basedOn w:val="852"/>
    <w:link w:val="70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5">
    <w:name w:val="Footer Char"/>
    <w:link w:val="704"/>
    <w:uiPriority w:val="99"/>
  </w:style>
  <w:style w:type="paragraph" w:styleId="706">
    <w:name w:val="Caption"/>
    <w:basedOn w:val="852"/>
    <w:next w:val="852"/>
    <w:link w:val="70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7">
    <w:name w:val="Caption Char"/>
    <w:basedOn w:val="706"/>
    <w:link w:val="704"/>
    <w:uiPriority w:val="99"/>
  </w:style>
  <w:style w:type="table" w:styleId="708">
    <w:name w:val="Table Grid"/>
    <w:basedOn w:val="85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Table Grid Light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08">
    <w:name w:val="List Table 7 Colorful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09">
    <w:name w:val="List Table 7 Colorful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0">
    <w:name w:val="List Table 7 Colorful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1">
    <w:name w:val="List Table 7 Colorful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2">
    <w:name w:val="List Table 7 Colorful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3">
    <w:name w:val="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5">
    <w:name w:val="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6">
    <w:name w:val="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7">
    <w:name w:val="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8">
    <w:name w:val="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9">
    <w:name w:val="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0">
    <w:name w:val="Bordered &amp; Lined - Accent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Bordered &amp; Lined - Accent 2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Bordered &amp; Lined - Accent 3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Bordered &amp; Lined - Accent 4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Bordered &amp; Lined - Accent 5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Bordered &amp; Lined - Accent 6"/>
    <w:basedOn w:val="85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table" w:styleId="85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4" w:default="1">
    <w:name w:val="No List"/>
    <w:uiPriority w:val="99"/>
    <w:semiHidden/>
    <w:unhideWhenUsed/>
  </w:style>
  <w:style w:type="paragraph" w:styleId="855">
    <w:name w:val="No Spacing"/>
    <w:basedOn w:val="852"/>
    <w:uiPriority w:val="1"/>
    <w:qFormat/>
    <w:pPr>
      <w:spacing w:after="0" w:line="240" w:lineRule="auto"/>
    </w:pPr>
  </w:style>
  <w:style w:type="paragraph" w:styleId="856">
    <w:name w:val="List Paragraph"/>
    <w:basedOn w:val="852"/>
    <w:uiPriority w:val="34"/>
    <w:qFormat/>
    <w:pPr>
      <w:contextualSpacing/>
      <w:ind w:left="720"/>
    </w:pPr>
  </w:style>
  <w:style w:type="character" w:styleId="857" w:default="1">
    <w:name w:val="Default Paragraph Font"/>
    <w:uiPriority w:val="1"/>
    <w:semiHidden/>
    <w:unhideWhenUsed/>
  </w:style>
  <w:style w:type="paragraph" w:styleId="85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cs="Arial" w:eastAsiaTheme="minorEastAsi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2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expert</cp:lastModifiedBy>
  <cp:revision>12</cp:revision>
  <dcterms:modified xsi:type="dcterms:W3CDTF">2025-02-14T06:06:45Z</dcterms:modified>
</cp:coreProperties>
</file>