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24D" w:rsidRDefault="001B681B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224D" w:rsidRDefault="00B1224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224D" w:rsidRPr="00571206" w:rsidRDefault="001B681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1206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B1224D" w:rsidRPr="00571206" w:rsidRDefault="001B681B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1206">
        <w:rPr>
          <w:rFonts w:ascii="Times New Roman" w:hAnsi="Times New Roman" w:cs="Times New Roman"/>
          <w:b/>
          <w:sz w:val="28"/>
          <w:szCs w:val="28"/>
        </w:rPr>
        <w:t>1</w:t>
      </w:r>
      <w:r w:rsidR="00B076FA">
        <w:rPr>
          <w:rFonts w:ascii="Times New Roman" w:hAnsi="Times New Roman" w:cs="Times New Roman"/>
          <w:b/>
          <w:sz w:val="28"/>
          <w:szCs w:val="28"/>
        </w:rPr>
        <w:t>3</w:t>
      </w:r>
      <w:r w:rsidRPr="00571206">
        <w:rPr>
          <w:rFonts w:ascii="Times New Roman" w:hAnsi="Times New Roman" w:cs="Times New Roman"/>
          <w:b/>
          <w:sz w:val="28"/>
          <w:szCs w:val="28"/>
        </w:rPr>
        <w:t>.02.2023</w:t>
      </w:r>
    </w:p>
    <w:p w:rsidR="00B1224D" w:rsidRDefault="00B1224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1224D" w:rsidRPr="00571206" w:rsidRDefault="00BE7E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E13">
        <w:rPr>
          <w:rFonts w:ascii="Times New Roman" w:hAnsi="Times New Roman" w:cs="Times New Roman"/>
          <w:b/>
          <w:sz w:val="28"/>
          <w:szCs w:val="28"/>
        </w:rPr>
        <w:t>Итоги рынка недвижимости за 2022 год и перспективы развития в 2023 году</w:t>
      </w:r>
    </w:p>
    <w:p w:rsidR="00B1224D" w:rsidRPr="00571206" w:rsidRDefault="00B1224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1224D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 xml:space="preserve">09 февраля </w:t>
      </w:r>
      <w:r w:rsidR="00C876F3">
        <w:rPr>
          <w:rFonts w:ascii="Times New Roman" w:hAnsi="Times New Roman" w:cs="Times New Roman"/>
          <w:sz w:val="28"/>
          <w:szCs w:val="28"/>
        </w:rPr>
        <w:t xml:space="preserve">2023 года </w:t>
      </w:r>
      <w:r w:rsidRPr="00571206">
        <w:rPr>
          <w:rFonts w:ascii="Times New Roman" w:hAnsi="Times New Roman" w:cs="Times New Roman"/>
          <w:sz w:val="28"/>
          <w:szCs w:val="28"/>
        </w:rPr>
        <w:t xml:space="preserve">состоялось открытие </w:t>
      </w:r>
      <w:r w:rsidRPr="0057120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71206">
        <w:rPr>
          <w:rFonts w:ascii="Times New Roman" w:hAnsi="Times New Roman" w:cs="Times New Roman"/>
          <w:sz w:val="28"/>
          <w:szCs w:val="28"/>
        </w:rPr>
        <w:t xml:space="preserve"> </w:t>
      </w:r>
      <w:r w:rsidR="00571206">
        <w:rPr>
          <w:rFonts w:ascii="Times New Roman" w:hAnsi="Times New Roman" w:cs="Times New Roman"/>
          <w:sz w:val="28"/>
          <w:szCs w:val="28"/>
        </w:rPr>
        <w:t>П</w:t>
      </w:r>
      <w:r w:rsidRPr="00571206">
        <w:rPr>
          <w:rFonts w:ascii="Times New Roman" w:hAnsi="Times New Roman" w:cs="Times New Roman"/>
          <w:sz w:val="28"/>
          <w:szCs w:val="28"/>
        </w:rPr>
        <w:t>оволжского межрегионального форума по недвижимости, приуроченного к профессиональному празднику – Дню риэлтора. В этот раз площадка форума объединила более 500 гостей и участников различных профессиональных сообществ рынка недвижимости, риэлторских, кредитных, страховых организаций, представителей органов государственной власти и местного самоуправления Самарской области.</w:t>
      </w:r>
    </w:p>
    <w:p w:rsidR="00571206" w:rsidRPr="00571206" w:rsidRDefault="00571206" w:rsidP="00571206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i/>
          <w:iCs/>
          <w:sz w:val="28"/>
          <w:szCs w:val="28"/>
        </w:rPr>
        <w:t>«Рынок недвижимости является одной из наиболее динамичных сфер экономики, его развитие сопряжено с потенциалом каждого отдельного региона. Сейчас мы делаем упор на два основных момента – укрепление прозрачности отрасли и ее цифровизация по всей стране. Сегодня нет места серым и черным схемам, основными принципами работы должны быть тесное взаимодействие и открытость. Формат живого общения и обратная связь от участников профсообществ – тот самый инструмент, который обеспечит стабильный рост качества оказания услуг людям»,</w:t>
      </w:r>
      <w:r w:rsidRPr="00571206">
        <w:rPr>
          <w:rFonts w:ascii="Times New Roman" w:hAnsi="Times New Roman" w:cs="Times New Roman"/>
          <w:sz w:val="28"/>
          <w:szCs w:val="28"/>
        </w:rPr>
        <w:t xml:space="preserve"> – отметил глава Росреестра </w:t>
      </w:r>
      <w:r w:rsidRPr="00571206">
        <w:rPr>
          <w:rFonts w:ascii="Times New Roman" w:hAnsi="Times New Roman" w:cs="Times New Roman"/>
          <w:b/>
          <w:sz w:val="28"/>
          <w:szCs w:val="28"/>
        </w:rPr>
        <w:t xml:space="preserve">Олег Скуфинский </w:t>
      </w:r>
      <w:r w:rsidRPr="00571206">
        <w:rPr>
          <w:rFonts w:ascii="Times New Roman" w:hAnsi="Times New Roman" w:cs="Times New Roman"/>
          <w:sz w:val="28"/>
          <w:szCs w:val="28"/>
        </w:rPr>
        <w:t xml:space="preserve">во время проведения </w:t>
      </w:r>
      <w:hyperlink r:id="rId6" w:history="1">
        <w:r w:rsidRPr="00571206">
          <w:rPr>
            <w:rStyle w:val="a5"/>
            <w:rFonts w:ascii="Times New Roman" w:hAnsi="Times New Roman" w:cs="Times New Roman"/>
            <w:sz w:val="28"/>
            <w:szCs w:val="28"/>
          </w:rPr>
          <w:t>«открытого диалога»</w:t>
        </w:r>
      </w:hyperlink>
      <w:r w:rsidRPr="00571206">
        <w:rPr>
          <w:rFonts w:ascii="Times New Roman" w:hAnsi="Times New Roman" w:cs="Times New Roman"/>
          <w:sz w:val="28"/>
          <w:szCs w:val="28"/>
        </w:rPr>
        <w:t xml:space="preserve"> с профессиональными участниками рынка недвижимости.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По состоянию на 01 января 2023 года в Едином государственном реестре недвижимости содержатся сведения о 3 631 894 объектах недвижимости, из них 1 132 252 земельных участков, 1 885 142 жилых помещений и 135 494 нежилых помещений с актуальными зарегистрированными в реестре правами.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lastRenderedPageBreak/>
        <w:t xml:space="preserve">С обсуждением итогов 2022 года и перспективах рынка недвижимости в 2023 году в пленарном заседании выступила заместитель руководителя Управления Росреестра по Самарской области </w:t>
      </w:r>
      <w:r w:rsidRPr="00571206">
        <w:rPr>
          <w:rFonts w:ascii="Times New Roman" w:hAnsi="Times New Roman" w:cs="Times New Roman"/>
          <w:b/>
          <w:sz w:val="28"/>
          <w:szCs w:val="28"/>
        </w:rPr>
        <w:t>Татьяна Титова.</w:t>
      </w:r>
      <w:r w:rsidRPr="00571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Внимание участников было обращено на актуальную повестку Большого Росреестра. Отдельно были затронуты вопросы оказания услуг Росреестра в электронном виде, точности и полноты сведений реестра недвижимости.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С июля 2022 года орган регистрации прав перешел на полный безбумажный документооборот. Все документы поступают государственному регистратору в оцифрованном виде, бумага же возвращается заявителю с отметками о переводе в электронный вид.  Из 859 тысяч заявлений об осуществлении учетно-регистрационных действий, поступивших в 2022 году, 53% заявлений было принято в офисах многофункциональных центров Самарской области. Снижение по сравнению с 2021 годом количества заявлений, поступивших через МФЦ, обусловлено ростом доли заявлений, поступающих в электронном виде. На сегодняшний день обязанность по обращению за государственным кадастров</w:t>
      </w:r>
      <w:r w:rsidR="00630C13">
        <w:rPr>
          <w:rFonts w:ascii="Times New Roman" w:hAnsi="Times New Roman" w:cs="Times New Roman"/>
          <w:sz w:val="28"/>
          <w:szCs w:val="28"/>
        </w:rPr>
        <w:t>ы</w:t>
      </w:r>
      <w:r w:rsidRPr="00571206">
        <w:rPr>
          <w:rFonts w:ascii="Times New Roman" w:hAnsi="Times New Roman" w:cs="Times New Roman"/>
          <w:sz w:val="28"/>
          <w:szCs w:val="28"/>
        </w:rPr>
        <w:t>м учетом или регистрацией прав на объект недвижимости на основании акта либо сделки с органом власти, на основании нотариальных документов либо при приобретении недвижимости с использованием кредитных средств обеспечивается соответственно органами государственной власти, нотариусами, кредитными организациями, застройщиками в электронном виде.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По итогам 2022 года 99% заявлений подаются органами государственной власти и органами местного самоуправления в форме электронного документа. Благодаря постоянному рабочему взаимодействию с банковским сообществом, застройщиками, и особому вниманию со стороны Правительства Самарской области, 80 % ипотечных сделок было подано в 2022 году в электронном виде. 97% ипотечных сделок в электронном виде отработано государственными регистраторами в декабре 2022 года за сутки, в рамках проекта «Регистрации под ключ».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 xml:space="preserve">В качестве перспективы развития рынка недвижимости участниками положительно была отмечена практика экстерриториального приема документов на </w:t>
      </w:r>
      <w:r w:rsidRPr="00571206">
        <w:rPr>
          <w:rFonts w:ascii="Times New Roman" w:hAnsi="Times New Roman" w:cs="Times New Roman"/>
          <w:sz w:val="28"/>
          <w:szCs w:val="28"/>
        </w:rPr>
        <w:lastRenderedPageBreak/>
        <w:t>регистрацию прав и сделок с недвижимостью, которая позволяет профессиональным участникам расширять горизонты своей деятельности. На территории Самарской области по экстерриториальному принципу в 2022 году было принято свыше 19,5 тысяч заявлений в отношении объектов недвижимости, расположенных практически на всей территории Российской Федерации. Из других же регионов России по объектам, расположенным на территории Самарской области, поступило свыше 4,5 тысяч заявлений.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i/>
          <w:sz w:val="28"/>
          <w:szCs w:val="28"/>
        </w:rPr>
        <w:t>«Перспективы сегодня</w:t>
      </w:r>
      <w:r w:rsidR="00630C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0C13" w:rsidRPr="00630C13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571206">
        <w:rPr>
          <w:rFonts w:ascii="Times New Roman" w:hAnsi="Times New Roman" w:cs="Times New Roman"/>
          <w:i/>
          <w:sz w:val="28"/>
          <w:szCs w:val="28"/>
        </w:rPr>
        <w:t>это электронный оборот недвижимости. Приятно отметить, что на территории Самарской области профессиональные участники рынка недвижимости четко понимают задачу и участвуют в решении задач, поставленных Правительством Российской Федерации и Росреестром. Результаты нашей совместной работы по государственной регистрации прав и государственному кадастровому учету получили высокую оценку от заявителей. Процент удовлетворённости граждан качеством предоставления услуг в сфере кадастрового учета и регистрации прав составляет 99,88%. Развитие электронного оборота, сокращение сроков без потери качества в земельно-имущественной сфере положительно отражается на инвестиционной привлекательности региона»</w:t>
      </w:r>
      <w:r w:rsidRPr="00571206">
        <w:rPr>
          <w:rFonts w:ascii="Times New Roman" w:hAnsi="Times New Roman" w:cs="Times New Roman"/>
          <w:sz w:val="28"/>
          <w:szCs w:val="28"/>
        </w:rPr>
        <w:t xml:space="preserve">, </w:t>
      </w:r>
      <w:r w:rsidRPr="001B681B">
        <w:rPr>
          <w:rFonts w:ascii="Times New Roman" w:hAnsi="Times New Roman" w:cs="Times New Roman"/>
          <w:sz w:val="28"/>
          <w:szCs w:val="28"/>
        </w:rPr>
        <w:t>–</w:t>
      </w:r>
      <w:r w:rsidRPr="00571206">
        <w:rPr>
          <w:rFonts w:ascii="Times New Roman" w:hAnsi="Times New Roman" w:cs="Times New Roman"/>
          <w:sz w:val="28"/>
          <w:szCs w:val="28"/>
        </w:rPr>
        <w:t xml:space="preserve"> отметила заместитель руководителя Управления Росреестра по Самарской области </w:t>
      </w:r>
      <w:r w:rsidRPr="00571206">
        <w:rPr>
          <w:rFonts w:ascii="Times New Roman" w:hAnsi="Times New Roman" w:cs="Times New Roman"/>
          <w:b/>
          <w:sz w:val="28"/>
          <w:szCs w:val="28"/>
        </w:rPr>
        <w:t>Татьяна Титова</w:t>
      </w:r>
      <w:r w:rsidRPr="00571206">
        <w:rPr>
          <w:rFonts w:ascii="Times New Roman" w:hAnsi="Times New Roman" w:cs="Times New Roman"/>
          <w:sz w:val="28"/>
          <w:szCs w:val="28"/>
        </w:rPr>
        <w:t>.</w:t>
      </w:r>
    </w:p>
    <w:p w:rsidR="00B1224D" w:rsidRPr="00571206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Самарская область включена во вторую волну 30 пилотных регионов</w:t>
      </w:r>
      <w:r w:rsidR="00630C13">
        <w:rPr>
          <w:rFonts w:ascii="Times New Roman" w:hAnsi="Times New Roman" w:cs="Times New Roman"/>
          <w:sz w:val="28"/>
          <w:szCs w:val="28"/>
        </w:rPr>
        <w:t>,</w:t>
      </w:r>
      <w:r w:rsidRPr="00571206">
        <w:rPr>
          <w:rFonts w:ascii="Times New Roman" w:hAnsi="Times New Roman" w:cs="Times New Roman"/>
          <w:sz w:val="28"/>
          <w:szCs w:val="28"/>
        </w:rPr>
        <w:t xml:space="preserve"> где реализуются мероприятия государственной программы </w:t>
      </w:r>
      <w:r w:rsidR="00630C13">
        <w:rPr>
          <w:rFonts w:ascii="Times New Roman" w:hAnsi="Times New Roman" w:cs="Times New Roman"/>
          <w:sz w:val="28"/>
          <w:szCs w:val="28"/>
        </w:rPr>
        <w:t>«</w:t>
      </w:r>
      <w:r w:rsidRPr="00571206">
        <w:rPr>
          <w:rFonts w:ascii="Times New Roman" w:hAnsi="Times New Roman" w:cs="Times New Roman"/>
          <w:sz w:val="28"/>
          <w:szCs w:val="28"/>
        </w:rPr>
        <w:t>Национальная система пространственных данных</w:t>
      </w:r>
      <w:r w:rsidR="00630C13">
        <w:rPr>
          <w:rFonts w:ascii="Times New Roman" w:hAnsi="Times New Roman" w:cs="Times New Roman"/>
          <w:sz w:val="28"/>
          <w:szCs w:val="28"/>
        </w:rPr>
        <w:t>»</w:t>
      </w:r>
      <w:r w:rsidRPr="00571206">
        <w:rPr>
          <w:rFonts w:ascii="Times New Roman" w:hAnsi="Times New Roman" w:cs="Times New Roman"/>
          <w:sz w:val="28"/>
          <w:szCs w:val="28"/>
        </w:rPr>
        <w:t xml:space="preserve">. В 2023 году органам государственной власти и органам местного самоуправления Самарской области совместно с Управлением Росреестра по Самарской области необходимо завершить основной объем запланированных мероприятий по наполнению реестра отсутствующими сведениями. </w:t>
      </w:r>
    </w:p>
    <w:p w:rsidR="00B1224D" w:rsidRDefault="001B681B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1206">
        <w:rPr>
          <w:rFonts w:ascii="Times New Roman" w:hAnsi="Times New Roman" w:cs="Times New Roman"/>
          <w:sz w:val="28"/>
          <w:szCs w:val="28"/>
        </w:rPr>
        <w:t>Необходимо отметить, что за последние три года Росреестром проделана беспрецедентная законотворческая работа. По инициативе Росреестра принято 47 федеральных законов, оперативно реагирующих на вызовы современного времени. «Гаражная амнис</w:t>
      </w:r>
      <w:r w:rsidR="00630C13">
        <w:rPr>
          <w:rFonts w:ascii="Times New Roman" w:hAnsi="Times New Roman" w:cs="Times New Roman"/>
          <w:sz w:val="28"/>
          <w:szCs w:val="28"/>
        </w:rPr>
        <w:t>т</w:t>
      </w:r>
      <w:r w:rsidRPr="00571206">
        <w:rPr>
          <w:rFonts w:ascii="Times New Roman" w:hAnsi="Times New Roman" w:cs="Times New Roman"/>
          <w:sz w:val="28"/>
          <w:szCs w:val="28"/>
        </w:rPr>
        <w:t xml:space="preserve">ия», «Дачная амнистия 2.0», «Линейная амнистия» и иные федеральные законы направлены на упрощение процедур оформления </w:t>
      </w:r>
      <w:r w:rsidRPr="00571206">
        <w:rPr>
          <w:rFonts w:ascii="Times New Roman" w:hAnsi="Times New Roman" w:cs="Times New Roman"/>
          <w:sz w:val="28"/>
          <w:szCs w:val="28"/>
        </w:rPr>
        <w:lastRenderedPageBreak/>
        <w:t>недвижимости. На уровне федерального законодательства регламентированы вопросы оформления и выявления правообладателей ранее учтенных объектов недвижимости, наполнения ЕГРН отсутствующими сведения</w:t>
      </w:r>
      <w:r w:rsidR="00630C13">
        <w:rPr>
          <w:rFonts w:ascii="Times New Roman" w:hAnsi="Times New Roman" w:cs="Times New Roman"/>
          <w:sz w:val="28"/>
          <w:szCs w:val="28"/>
        </w:rPr>
        <w:t>ми</w:t>
      </w:r>
      <w:r w:rsidRPr="00571206">
        <w:rPr>
          <w:rFonts w:ascii="Times New Roman" w:hAnsi="Times New Roman" w:cs="Times New Roman"/>
          <w:sz w:val="28"/>
          <w:szCs w:val="28"/>
        </w:rPr>
        <w:t>. Все реализованные Росреестром законодательные инициативы вполне могут быть рассмотрены риэлтерским сообществом в качестве перспективы своего развития. Риэлторы, как профессиональные участники рынка недвижимости, также являются участниками развития и создания Единой цифровой платформ</w:t>
      </w:r>
      <w:r w:rsidR="00630C13">
        <w:rPr>
          <w:rFonts w:ascii="Times New Roman" w:hAnsi="Times New Roman" w:cs="Times New Roman"/>
          <w:sz w:val="28"/>
          <w:szCs w:val="28"/>
        </w:rPr>
        <w:t>ы</w:t>
      </w:r>
      <w:r w:rsidRPr="00571206">
        <w:rPr>
          <w:rFonts w:ascii="Times New Roman" w:hAnsi="Times New Roman" w:cs="Times New Roman"/>
          <w:sz w:val="28"/>
          <w:szCs w:val="28"/>
        </w:rPr>
        <w:t xml:space="preserve"> «Национальная система пространственных данных»</w:t>
      </w:r>
      <w:r w:rsidR="00630C13">
        <w:rPr>
          <w:rFonts w:ascii="Times New Roman" w:hAnsi="Times New Roman" w:cs="Times New Roman"/>
          <w:sz w:val="28"/>
          <w:szCs w:val="28"/>
        </w:rPr>
        <w:t>,</w:t>
      </w:r>
      <w:r w:rsidRPr="00571206">
        <w:rPr>
          <w:rFonts w:ascii="Times New Roman" w:hAnsi="Times New Roman" w:cs="Times New Roman"/>
          <w:sz w:val="28"/>
          <w:szCs w:val="28"/>
        </w:rPr>
        <w:t xml:space="preserve"> помогая гражданам в оформлении документов и вовлечении принадлежащих им ранее учтенных объектов недвижимости в гражданский оборот.</w:t>
      </w:r>
    </w:p>
    <w:p w:rsidR="00571206" w:rsidRDefault="00571206" w:rsidP="005712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206" w:rsidRPr="00571206" w:rsidRDefault="00571206" w:rsidP="0057120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Фото: </w:t>
      </w:r>
      <w:r w:rsidR="00C876F3" w:rsidRPr="00C876F3">
        <w:rPr>
          <w:rFonts w:ascii="Times New Roman" w:hAnsi="Times New Roman" w:cs="Times New Roman"/>
          <w:sz w:val="28"/>
          <w:szCs w:val="28"/>
        </w:rPr>
        <w:t xml:space="preserve">Ассоциация </w:t>
      </w:r>
      <w:r w:rsidR="00C876F3">
        <w:rPr>
          <w:rFonts w:ascii="Times New Roman" w:hAnsi="Times New Roman" w:cs="Times New Roman"/>
          <w:sz w:val="28"/>
          <w:szCs w:val="28"/>
        </w:rPr>
        <w:t>«</w:t>
      </w:r>
      <w:r w:rsidR="00C876F3" w:rsidRPr="00C876F3">
        <w:rPr>
          <w:rFonts w:ascii="Times New Roman" w:hAnsi="Times New Roman" w:cs="Times New Roman"/>
          <w:sz w:val="28"/>
          <w:szCs w:val="28"/>
        </w:rPr>
        <w:t>Поволжская Гильдия Риэлторов</w:t>
      </w:r>
      <w:r w:rsidR="00C876F3">
        <w:rPr>
          <w:rFonts w:ascii="Times New Roman" w:hAnsi="Times New Roman" w:cs="Times New Roman"/>
          <w:sz w:val="28"/>
          <w:szCs w:val="28"/>
        </w:rPr>
        <w:t>»</w:t>
      </w:r>
    </w:p>
    <w:p w:rsidR="00B1224D" w:rsidRDefault="00B1224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1224D" w:rsidRDefault="001B681B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noProof/>
          <w:color w:val="0F0F0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-13336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95pt" to="479.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BM9QEAAJYDAAAOAAAAZHJzL2Uyb0RvYy54bWysU02O0zAU3iNxB8t7mjQooyFqOtJMNWwQ&#10;VII5gOvYiSX/yTZNuwPWSD0CV2AB0kgDnCG5Ec9upgywQ3Thvj9/z+97XxYXOyXRljkvjK7xfJZj&#10;xDQ1jdBtjW/eXD85x8gHohsijWY13jOPL5aPHy16W7HCdEY2zCEA0b7qbY27EGyVZZ52TBE/M5Zp&#10;SHLjFAngujZrHOkBXcmsyPOzrDeusc5Q5j1EV8ckXiZ8zhkNrzj3LCBZY3hbSKdL5yae2XJBqtYR&#10;2wk6PYP8wysUERqanqBWJBD01om/oJSgznjDw4walRnOBWVpBphmnv8xzeuOWJZmAXK8PdHk/x8s&#10;fbldOySaGhcYaaJgRcOn8d14GL4Nn8cDGt8PP4avw5fhdvg+3I4fwL4bP4Idk8PdFD6gIjLZW18B&#10;4JVeu8nzdu0iLTvuVPyHgdEusb8/sc92AVEIns3zsixKjOh9Lvt10TofnjOjUDRqLIWOxJCKbF/4&#10;AM2g9L4khrW5FlKm5UqNegB/WsL6KQGJcUkCmMrC0F63GBHZgnZpcAnRGymaeDvieNdurqRDWwL6&#10;KS+fXa7KOCh0+60stl4R3x3rUuqoLCUCyFsKVePzPP6m21JHdJYEOg0QyTvSFa2NafaJxSx6sPzU&#10;dBJqVNdDH+yHn9PyJwAAAP//AwBQSwMEFAAGAAgAAAAhAJpzdqLeAAAACAEAAA8AAABkcnMvZG93&#10;bnJldi54bWxMj1FrwjAUhd8H/odwB3vT1LIO2zUVEQYOhqAOpm9pc9eWJTclidr9+2XswT2eew7n&#10;fLdcjkazCzrfWxIwnyXAkBqremoFvB9epgtgPkhSUltCAd/oYVlN7kpZKHulHV72oWWxhHwhBXQh&#10;DAXnvunQSD+zA1L0Pq0zMkTpWq6cvMZyo3maJE/cyJ7iQicHXHfYfO3PRkC9de6YnT4GvXrbJdvR&#10;b6x73QjxcD+unoEFHMMtDL/4ER2qyFTbMynPtIBpOo9JAWmWA4t+nuWPwOq/A69K/v+B6gcAAP//&#10;AwBQSwECLQAUAAYACAAAACEAtoM4kv4AAADhAQAAEwAAAAAAAAAAAAAAAAAAAAAAW0NvbnRlbnRf&#10;VHlwZXNdLnhtbFBLAQItABQABgAIAAAAIQA4/SH/1gAAAJQBAAALAAAAAAAAAAAAAAAAAC8BAABf&#10;cmVscy8ucmVsc1BLAQItABQABgAIAAAAIQBzRvBM9QEAAJYDAAAOAAAAAAAAAAAAAAAAAC4CAABk&#10;cnMvZTJvRG9jLnhtbFBLAQItABQABgAIAAAAIQCac3ai3gAAAAgBAAAPAAAAAAAAAAAAAAAAAE8E&#10;AABkcnMvZG93bnJldi54bWxQSwUGAAAAAAQABADzAAAAWgUAAAAA&#10;" strokecolor="#5b9bd5" strokeweight=".5pt">
                <v:stroke joinstyle="miter"/>
              </v:line>
            </w:pict>
          </mc:Fallback>
        </mc:AlternateContent>
      </w:r>
    </w:p>
    <w:p w:rsidR="00B1224D" w:rsidRDefault="001B681B">
      <w:pPr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</w:t>
      </w:r>
      <w:r w:rsidR="00571206">
        <w:rPr>
          <w:rFonts w:ascii="Times New Roman" w:hAnsi="Times New Roman" w:cs="Times New Roman"/>
          <w:color w:val="0F0F0F"/>
          <w:sz w:val="24"/>
          <w:szCs w:val="24"/>
        </w:rPr>
        <w:t>е</w:t>
      </w:r>
      <w:r>
        <w:rPr>
          <w:rFonts w:ascii="Times New Roman" w:hAnsi="Times New Roman" w:cs="Times New Roman"/>
          <w:color w:val="0F0F0F"/>
          <w:sz w:val="24"/>
          <w:szCs w:val="24"/>
        </w:rPr>
        <w:t xml:space="preserve"> Росреестра по Самарской области</w:t>
      </w:r>
    </w:p>
    <w:p w:rsidR="00B1224D" w:rsidRDefault="00B1224D">
      <w:pPr>
        <w:spacing w:line="360" w:lineRule="auto"/>
        <w:ind w:firstLine="85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B122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4D"/>
    <w:rsid w:val="001B681B"/>
    <w:rsid w:val="00571206"/>
    <w:rsid w:val="005F59CD"/>
    <w:rsid w:val="00630C13"/>
    <w:rsid w:val="00B076FA"/>
    <w:rsid w:val="00B1224D"/>
    <w:rsid w:val="00BE7E13"/>
    <w:rsid w:val="00C8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712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71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rosreestr-provel-otkrytyy-dialog-s-predstavitelyami-professionalnykh-rieltorskikh-soobshchest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 Константин Сергеевич</dc:creator>
  <cp:lastModifiedBy>user</cp:lastModifiedBy>
  <cp:revision>2</cp:revision>
  <cp:lastPrinted>2023-02-10T13:22:00Z</cp:lastPrinted>
  <dcterms:created xsi:type="dcterms:W3CDTF">2023-02-21T04:49:00Z</dcterms:created>
  <dcterms:modified xsi:type="dcterms:W3CDTF">2023-02-21T04:49:00Z</dcterms:modified>
</cp:coreProperties>
</file>