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5"/>
        <w:gridCol w:w="1801"/>
        <w:gridCol w:w="1856"/>
        <w:gridCol w:w="5103"/>
      </w:tblGrid>
      <w:tr w:rsidR="000D6AAB" w:rsidRPr="0008292C" w:rsidTr="00C12823">
        <w:trPr>
          <w:trHeight w:hRule="exact" w:val="1135"/>
        </w:trPr>
        <w:tc>
          <w:tcPr>
            <w:tcW w:w="5246" w:type="dxa"/>
            <w:gridSpan w:val="4"/>
            <w:vMerge w:val="restart"/>
          </w:tcPr>
          <w:tbl>
            <w:tblPr>
              <w:tblStyle w:val="1"/>
              <w:tblW w:w="42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</w:tblGrid>
            <w:tr w:rsidR="000D6AAB" w:rsidRPr="0008292C" w:rsidTr="00990EAF">
              <w:trPr>
                <w:trHeight w:hRule="exact" w:val="2818"/>
              </w:trPr>
              <w:tc>
                <w:tcPr>
                  <w:tcW w:w="4253" w:type="dxa"/>
                </w:tcPr>
                <w:p w:rsidR="000D6AAB" w:rsidRPr="00843ACF" w:rsidRDefault="000D6AAB" w:rsidP="00581833">
                  <w:pPr>
                    <w:jc w:val="center"/>
                    <w:rPr>
                      <w:rFonts w:eastAsia="Calibri" w:cs="Times New Roman"/>
                    </w:rPr>
                  </w:pPr>
                  <w:bookmarkStart w:id="0" w:name="STAMPCORNER"/>
                  <w:r w:rsidRPr="006C1C12">
                    <w:rPr>
                      <w:rFonts w:cs="Times New Roman"/>
                      <w:szCs w:val="28"/>
                    </w:rPr>
                    <w:t>STAMPCORNER</w:t>
                  </w:r>
                  <w:bookmarkEnd w:id="0"/>
                </w:p>
              </w:tc>
            </w:tr>
          </w:tbl>
          <w:p w:rsidR="000D6AAB" w:rsidRPr="00843ACF" w:rsidRDefault="000D6AAB" w:rsidP="00581833">
            <w:pPr>
              <w:tabs>
                <w:tab w:val="right" w:pos="4784"/>
              </w:tabs>
              <w:ind w:left="11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103" w:type="dxa"/>
          </w:tcPr>
          <w:p w:rsidR="000D6AAB" w:rsidRPr="006B39AA" w:rsidRDefault="000D6AAB" w:rsidP="00581833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0D6AAB" w:rsidRPr="007343BF" w:rsidTr="00C12823">
        <w:trPr>
          <w:trHeight w:val="1415"/>
        </w:trPr>
        <w:tc>
          <w:tcPr>
            <w:tcW w:w="5246" w:type="dxa"/>
            <w:gridSpan w:val="4"/>
            <w:vMerge/>
          </w:tcPr>
          <w:p w:rsidR="000D6AAB" w:rsidRPr="00843ACF" w:rsidRDefault="000D6AAB" w:rsidP="00581833">
            <w:pPr>
              <w:tabs>
                <w:tab w:val="right" w:pos="4784"/>
              </w:tabs>
              <w:ind w:left="113"/>
              <w:rPr>
                <w:rFonts w:cs="Times New Roman"/>
                <w:noProof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0D6AAB" w:rsidRPr="006B39AA" w:rsidRDefault="00AD28E0" w:rsidP="006A2C32">
            <w:pPr>
              <w:spacing w:line="240" w:lineRule="exact"/>
              <w:contextualSpacing/>
              <w:rPr>
                <w:rFonts w:cs="Times New Roman"/>
                <w:szCs w:val="28"/>
              </w:rPr>
            </w:pPr>
            <w:r>
              <w:rPr>
                <w:szCs w:val="28"/>
              </w:rPr>
              <w:t>Главам сельских поселений</w:t>
            </w:r>
          </w:p>
        </w:tc>
      </w:tr>
      <w:tr w:rsidR="00990EAF" w:rsidRPr="00E0460C" w:rsidTr="00C12823">
        <w:trPr>
          <w:trHeight w:val="785"/>
        </w:trPr>
        <w:tc>
          <w:tcPr>
            <w:tcW w:w="5246" w:type="dxa"/>
            <w:gridSpan w:val="4"/>
          </w:tcPr>
          <w:p w:rsidR="00990EAF" w:rsidRDefault="00990EAF" w:rsidP="000D6AAB">
            <w:pPr>
              <w:spacing w:after="60"/>
              <w:ind w:left="227"/>
              <w:jc w:val="both"/>
              <w:rPr>
                <w:rFonts w:cs="Times New Roman"/>
                <w:sz w:val="18"/>
              </w:rPr>
            </w:pPr>
          </w:p>
          <w:p w:rsidR="00990EAF" w:rsidRDefault="00C12823" w:rsidP="004C12CB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="001D443F">
              <w:rPr>
                <w:rFonts w:cs="Times New Roman"/>
                <w:sz w:val="18"/>
              </w:rPr>
              <w:t xml:space="preserve">           </w:t>
            </w:r>
            <w:r>
              <w:rPr>
                <w:rFonts w:cs="Times New Roman"/>
                <w:sz w:val="18"/>
              </w:rPr>
              <w:t xml:space="preserve">    </w:t>
            </w:r>
            <w:bookmarkStart w:id="1" w:name="REGNUMDATESTAMP"/>
            <w:r>
              <w:rPr>
                <w:rFonts w:cs="Times New Roman"/>
                <w:sz w:val="18"/>
              </w:rPr>
              <w:t>Штамп Регистрации</w:t>
            </w:r>
            <w:bookmarkEnd w:id="1"/>
          </w:p>
          <w:p w:rsidR="00424A86" w:rsidRPr="00E0460C" w:rsidRDefault="00424A86" w:rsidP="004C12CB">
            <w:pPr>
              <w:rPr>
                <w:rFonts w:cs="Times New Roman"/>
                <w:sz w:val="18"/>
              </w:rPr>
            </w:pPr>
          </w:p>
          <w:p w:rsidR="00990EAF" w:rsidRPr="00733DA1" w:rsidRDefault="00424A86" w:rsidP="006A2C32">
            <w:pPr>
              <w:rPr>
                <w:sz w:val="20"/>
                <w:szCs w:val="20"/>
              </w:rPr>
            </w:pPr>
            <w:r w:rsidRPr="006D4BB4">
              <w:rPr>
                <w:sz w:val="20"/>
                <w:szCs w:val="20"/>
              </w:rPr>
              <w:t xml:space="preserve">    </w:t>
            </w:r>
            <w:r w:rsidRPr="00D24614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4C4317" w:rsidRPr="00D24614">
              <w:rPr>
                <w:sz w:val="20"/>
                <w:szCs w:val="20"/>
              </w:rPr>
              <w:t>№</w:t>
            </w:r>
            <w:r w:rsidR="0053176B" w:rsidRPr="005317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vMerge/>
          </w:tcPr>
          <w:p w:rsidR="00990EAF" w:rsidRPr="00E0460C" w:rsidRDefault="00990EAF" w:rsidP="00581833">
            <w:pPr>
              <w:spacing w:after="60"/>
              <w:ind w:left="227"/>
              <w:rPr>
                <w:rFonts w:cs="Times New Roman"/>
                <w:sz w:val="1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</w:tbl>
    <w:p w:rsidR="00A4159C" w:rsidRDefault="00A4159C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  <w:bookmarkStart w:id="2" w:name="_GoBack"/>
      <w:bookmarkEnd w:id="2"/>
      <w:r w:rsidRPr="00A95533">
        <w:rPr>
          <w:rFonts w:eastAsia="Calibri" w:cs="Times New Roman"/>
          <w:szCs w:val="28"/>
        </w:rPr>
        <w:t>ИНФОРМАЦИЯ</w:t>
      </w: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0E3C72" w:rsidRDefault="000E3C72" w:rsidP="000E3C7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прокуратуры района 19 сотрудников ОМВД России по Большеглушицкому району Самарской области привлечены к дисциплинарной ответственности за допущенные нарушения законодательства о противодействии коррупции.</w:t>
      </w:r>
    </w:p>
    <w:p w:rsidR="000E3C72" w:rsidRDefault="000E3C72" w:rsidP="000E3C7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сотрудниками в рамках декларационной кампании за 2021 год неверно и не в полном объеме указано принадлежащее им имущество, полученные ими и их супругами доходы, сведения об открытых банковских счетах.</w:t>
      </w:r>
    </w:p>
    <w:p w:rsidR="000E3C72" w:rsidRPr="00A95533" w:rsidRDefault="000E3C72" w:rsidP="000E3C72">
      <w:pPr>
        <w:pStyle w:val="2"/>
        <w:spacing w:after="0" w:line="240" w:lineRule="auto"/>
        <w:ind w:firstLine="709"/>
        <w:jc w:val="both"/>
        <w:rPr>
          <w:rFonts w:eastAsia="Calibri"/>
          <w:szCs w:val="28"/>
        </w:rPr>
      </w:pPr>
      <w:r>
        <w:rPr>
          <w:sz w:val="28"/>
          <w:szCs w:val="28"/>
        </w:rPr>
        <w:t>По результатам рассмотрения акта реагирования виновные лица привлечены к дисциплинарной ответственности, выявленные нарушения законодательства устранены.</w:t>
      </w:r>
    </w:p>
    <w:p w:rsidR="00A95533" w:rsidRDefault="00A95533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p w:rsidR="00AD28E0" w:rsidRDefault="00AD28E0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p w:rsidR="00AD28E0" w:rsidRPr="00E66050" w:rsidRDefault="000E3C72" w:rsidP="00AD28E0">
      <w:pPr>
        <w:spacing w:line="240" w:lineRule="exact"/>
        <w:jc w:val="both"/>
        <w:rPr>
          <w:szCs w:val="28"/>
        </w:rPr>
      </w:pPr>
      <w:r>
        <w:rPr>
          <w:szCs w:val="28"/>
        </w:rPr>
        <w:t>П</w:t>
      </w:r>
      <w:r w:rsidR="00AD28E0" w:rsidRPr="00E66050">
        <w:rPr>
          <w:szCs w:val="28"/>
        </w:rPr>
        <w:t>рокурор района</w:t>
      </w:r>
    </w:p>
    <w:p w:rsidR="00AD28E0" w:rsidRDefault="00AD28E0" w:rsidP="00AD28E0">
      <w:pPr>
        <w:spacing w:line="240" w:lineRule="exact"/>
        <w:jc w:val="both"/>
        <w:rPr>
          <w:szCs w:val="28"/>
        </w:rPr>
      </w:pPr>
    </w:p>
    <w:p w:rsidR="00AD28E0" w:rsidRDefault="000E3C72" w:rsidP="00AD28E0">
      <w:pPr>
        <w:spacing w:line="240" w:lineRule="exact"/>
        <w:jc w:val="both"/>
      </w:pPr>
      <w:r>
        <w:rPr>
          <w:szCs w:val="28"/>
        </w:rPr>
        <w:t xml:space="preserve">старший </w:t>
      </w:r>
      <w:r w:rsidR="00AD28E0" w:rsidRPr="00E66050">
        <w:rPr>
          <w:szCs w:val="28"/>
        </w:rPr>
        <w:t xml:space="preserve">советник юстиции </w:t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  <w:t xml:space="preserve">  </w:t>
      </w:r>
      <w:r>
        <w:rPr>
          <w:szCs w:val="28"/>
        </w:rPr>
        <w:t xml:space="preserve">          Д.А. Абросимов</w:t>
      </w:r>
    </w:p>
    <w:p w:rsidR="00AD28E0" w:rsidRPr="00A95533" w:rsidRDefault="00AD28E0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sectPr w:rsidR="00AD28E0" w:rsidRPr="00A95533" w:rsidSect="00454588">
      <w:headerReference w:type="default" r:id="rId8"/>
      <w:pgSz w:w="11906" w:h="16838"/>
      <w:pgMar w:top="1418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1D" w:rsidRDefault="0037091D" w:rsidP="000D6AAB">
      <w:r>
        <w:separator/>
      </w:r>
    </w:p>
  </w:endnote>
  <w:endnote w:type="continuationSeparator" w:id="0">
    <w:p w:rsidR="0037091D" w:rsidRDefault="0037091D" w:rsidP="000D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1D" w:rsidRDefault="0037091D" w:rsidP="000D6AAB">
      <w:r>
        <w:separator/>
      </w:r>
    </w:p>
  </w:footnote>
  <w:footnote w:type="continuationSeparator" w:id="0">
    <w:p w:rsidR="0037091D" w:rsidRDefault="0037091D" w:rsidP="000D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33" w:rsidRPr="00A21576" w:rsidRDefault="00581833">
    <w:pPr>
      <w:pStyle w:val="a4"/>
      <w:jc w:val="center"/>
      <w:rPr>
        <w:sz w:val="24"/>
      </w:rPr>
    </w:pPr>
    <w:r w:rsidRPr="00A21576">
      <w:rPr>
        <w:sz w:val="24"/>
      </w:rPr>
      <w:fldChar w:fldCharType="begin"/>
    </w:r>
    <w:r w:rsidRPr="00A21576">
      <w:rPr>
        <w:sz w:val="24"/>
      </w:rPr>
      <w:instrText>PAGE   \* MERGEFORMAT</w:instrText>
    </w:r>
    <w:r w:rsidRPr="00A21576">
      <w:rPr>
        <w:sz w:val="24"/>
      </w:rPr>
      <w:fldChar w:fldCharType="separate"/>
    </w:r>
    <w:r w:rsidR="005224DC">
      <w:rPr>
        <w:noProof/>
        <w:sz w:val="24"/>
      </w:rPr>
      <w:t>2</w:t>
    </w:r>
    <w:r w:rsidRPr="00A21576">
      <w:rPr>
        <w:sz w:val="24"/>
      </w:rPr>
      <w:fldChar w:fldCharType="end"/>
    </w:r>
  </w:p>
  <w:p w:rsidR="00581833" w:rsidRDefault="005818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5D26"/>
    <w:multiLevelType w:val="hybridMultilevel"/>
    <w:tmpl w:val="AB80C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C7DF6"/>
    <w:multiLevelType w:val="hybridMultilevel"/>
    <w:tmpl w:val="58E4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5E82"/>
    <w:multiLevelType w:val="hybridMultilevel"/>
    <w:tmpl w:val="CB5A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AB"/>
    <w:rsid w:val="00030E1C"/>
    <w:rsid w:val="00085822"/>
    <w:rsid w:val="000877A8"/>
    <w:rsid w:val="000A35A5"/>
    <w:rsid w:val="000B2D67"/>
    <w:rsid w:val="000B3D8A"/>
    <w:rsid w:val="000D6AAB"/>
    <w:rsid w:val="000E3C72"/>
    <w:rsid w:val="00122FC0"/>
    <w:rsid w:val="00127FDF"/>
    <w:rsid w:val="001A2097"/>
    <w:rsid w:val="001B730C"/>
    <w:rsid w:val="001C10F6"/>
    <w:rsid w:val="001D436D"/>
    <w:rsid w:val="001D443F"/>
    <w:rsid w:val="001F04BA"/>
    <w:rsid w:val="002A0276"/>
    <w:rsid w:val="002A6CD3"/>
    <w:rsid w:val="002D7842"/>
    <w:rsid w:val="003260E4"/>
    <w:rsid w:val="0037091D"/>
    <w:rsid w:val="003973AA"/>
    <w:rsid w:val="00424A86"/>
    <w:rsid w:val="00454588"/>
    <w:rsid w:val="0049082A"/>
    <w:rsid w:val="004A5602"/>
    <w:rsid w:val="004C12CB"/>
    <w:rsid w:val="004C4317"/>
    <w:rsid w:val="005224DC"/>
    <w:rsid w:val="0053176B"/>
    <w:rsid w:val="00560B70"/>
    <w:rsid w:val="00573096"/>
    <w:rsid w:val="00581833"/>
    <w:rsid w:val="005F6808"/>
    <w:rsid w:val="00600B3E"/>
    <w:rsid w:val="00671B45"/>
    <w:rsid w:val="00684240"/>
    <w:rsid w:val="006A2C32"/>
    <w:rsid w:val="006D0C12"/>
    <w:rsid w:val="006D4BB4"/>
    <w:rsid w:val="006E6ACA"/>
    <w:rsid w:val="006F161F"/>
    <w:rsid w:val="007164C8"/>
    <w:rsid w:val="00733DA1"/>
    <w:rsid w:val="007B4C9B"/>
    <w:rsid w:val="007F3841"/>
    <w:rsid w:val="00803B89"/>
    <w:rsid w:val="00823C62"/>
    <w:rsid w:val="00827380"/>
    <w:rsid w:val="008452CC"/>
    <w:rsid w:val="00854301"/>
    <w:rsid w:val="00860C26"/>
    <w:rsid w:val="0086578C"/>
    <w:rsid w:val="008933EA"/>
    <w:rsid w:val="00950F47"/>
    <w:rsid w:val="00986219"/>
    <w:rsid w:val="00990EAF"/>
    <w:rsid w:val="009C4D11"/>
    <w:rsid w:val="00A21576"/>
    <w:rsid w:val="00A224A2"/>
    <w:rsid w:val="00A33CBC"/>
    <w:rsid w:val="00A4159C"/>
    <w:rsid w:val="00A95533"/>
    <w:rsid w:val="00AD28E0"/>
    <w:rsid w:val="00AF4A7F"/>
    <w:rsid w:val="00B46E25"/>
    <w:rsid w:val="00B67A99"/>
    <w:rsid w:val="00B854B3"/>
    <w:rsid w:val="00BB1B13"/>
    <w:rsid w:val="00BD0A0F"/>
    <w:rsid w:val="00BF335E"/>
    <w:rsid w:val="00C12823"/>
    <w:rsid w:val="00C93A1B"/>
    <w:rsid w:val="00CD2546"/>
    <w:rsid w:val="00D40C3B"/>
    <w:rsid w:val="00D4556D"/>
    <w:rsid w:val="00D654BE"/>
    <w:rsid w:val="00DE5525"/>
    <w:rsid w:val="00DE56E8"/>
    <w:rsid w:val="00E4394D"/>
    <w:rsid w:val="00EE1C67"/>
    <w:rsid w:val="00F01921"/>
    <w:rsid w:val="00FC2431"/>
    <w:rsid w:val="00FD4F2C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144BB"/>
  <w15:chartTrackingRefBased/>
  <w15:docId w15:val="{13BA8D79-9766-421E-BA4E-9E9A6B6E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AAB"/>
    <w:rPr>
      <w:rFonts w:ascii="Times New Roman" w:hAnsi="Times New Roman"/>
      <w:sz w:val="28"/>
    </w:rPr>
  </w:style>
  <w:style w:type="table" w:customStyle="1" w:styleId="1">
    <w:name w:val="Сетка таблицы светлая1"/>
    <w:basedOn w:val="a1"/>
    <w:next w:val="a1"/>
    <w:uiPriority w:val="40"/>
    <w:rsid w:val="000D6AAB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6">
    <w:name w:val="footer"/>
    <w:basedOn w:val="a"/>
    <w:link w:val="a7"/>
    <w:uiPriority w:val="99"/>
    <w:unhideWhenUsed/>
    <w:rsid w:val="00CD2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546"/>
    <w:rPr>
      <w:rFonts w:ascii="Times New Roman" w:hAnsi="Times New Roman"/>
      <w:sz w:val="28"/>
    </w:rPr>
  </w:style>
  <w:style w:type="paragraph" w:customStyle="1" w:styleId="a8">
    <w:name w:val="Название"/>
    <w:basedOn w:val="a"/>
    <w:qFormat/>
    <w:rsid w:val="00BF335E"/>
    <w:pPr>
      <w:jc w:val="center"/>
    </w:pPr>
    <w:rPr>
      <w:rFonts w:eastAsia="Times New Roman" w:cs="Times New Roman"/>
      <w:szCs w:val="20"/>
      <w:lang w:eastAsia="ru-RU"/>
    </w:rPr>
  </w:style>
  <w:style w:type="character" w:styleId="a9">
    <w:name w:val="Emphasis"/>
    <w:qFormat/>
    <w:rsid w:val="00B854B3"/>
    <w:rPr>
      <w:i/>
      <w:iCs/>
    </w:rPr>
  </w:style>
  <w:style w:type="paragraph" w:customStyle="1" w:styleId="Style18">
    <w:name w:val="Style18"/>
    <w:basedOn w:val="a"/>
    <w:uiPriority w:val="99"/>
    <w:rsid w:val="00B854B3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854B3"/>
    <w:pPr>
      <w:widowControl w:val="0"/>
      <w:autoSpaceDE w:val="0"/>
      <w:autoSpaceDN w:val="0"/>
      <w:adjustRightInd w:val="0"/>
      <w:spacing w:line="21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854B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B854B3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uiPriority w:val="99"/>
    <w:rsid w:val="00B854B3"/>
    <w:rPr>
      <w:rFonts w:ascii="Times New Roman" w:hAnsi="Times New Roman" w:cs="Times New Roman"/>
      <w:sz w:val="14"/>
      <w:szCs w:val="14"/>
    </w:rPr>
  </w:style>
  <w:style w:type="character" w:customStyle="1" w:styleId="FontStyle59">
    <w:name w:val="Font Style59"/>
    <w:uiPriority w:val="99"/>
    <w:rsid w:val="00B854B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1">
    <w:name w:val="Font Style21"/>
    <w:uiPriority w:val="99"/>
    <w:rsid w:val="004C4317"/>
    <w:rPr>
      <w:rFonts w:ascii="Times New Roman" w:hAnsi="Times New Roman" w:cs="Times New Roman"/>
      <w:spacing w:val="1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858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582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803B89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unhideWhenUsed/>
    <w:rsid w:val="001A2097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1A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950F4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6A2C3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A2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3045D-9CD2-4761-A3BE-BEAF7F3C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Стальнов Андрей Владимирович</dc:creator>
  <cp:keywords/>
  <dc:description/>
  <cp:lastModifiedBy>Писарев Евгений Алексеевич</cp:lastModifiedBy>
  <cp:revision>9</cp:revision>
  <cp:lastPrinted>2022-03-04T08:02:00Z</cp:lastPrinted>
  <dcterms:created xsi:type="dcterms:W3CDTF">2022-06-07T11:37:00Z</dcterms:created>
  <dcterms:modified xsi:type="dcterms:W3CDTF">2022-12-26T08:31:00Z</dcterms:modified>
</cp:coreProperties>
</file>