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2277A" w:rsidRPr="00586400" w:rsidRDefault="0028071E" w:rsidP="00D2277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bookmarkStart w:id="0" w:name="_GoBack"/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АДМИНИСТРАЦИЯ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СЕЛЬСКОГО ПОСЕЛЕНИЯ</w:t>
      </w:r>
    </w:p>
    <w:p w:rsidR="0028071E" w:rsidRPr="00586400" w:rsidRDefault="00D2277A" w:rsidP="0028071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МОКША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МУНИЦИПАЛЬНОГО РАЙОНА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БОЛЬШЕГЛУШИЦКИЙ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САМАРСКОЙ ОБЛАСТИ</w:t>
      </w:r>
    </w:p>
    <w:p w:rsidR="0028071E" w:rsidRPr="00586400" w:rsidRDefault="00D040B3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</w:t>
      </w:r>
    </w:p>
    <w:p w:rsidR="0028071E" w:rsidRPr="00586400" w:rsidRDefault="0028071E" w:rsidP="0028071E">
      <w:pPr>
        <w:rPr>
          <w:rFonts w:ascii="Times New Roman" w:hAnsi="Times New Roman" w:cs="Times New Roman"/>
          <w:b/>
          <w:sz w:val="24"/>
        </w:rPr>
      </w:pPr>
      <w:r w:rsidRPr="00586400">
        <w:rPr>
          <w:rFonts w:ascii="Times New Roman" w:hAnsi="Times New Roman" w:cs="Times New Roman"/>
          <w:b/>
          <w:sz w:val="24"/>
        </w:rPr>
        <w:t xml:space="preserve">        </w:t>
      </w:r>
      <w:r w:rsidR="00162492">
        <w:rPr>
          <w:rFonts w:ascii="Times New Roman" w:hAnsi="Times New Roman" w:cs="Times New Roman"/>
          <w:b/>
          <w:sz w:val="24"/>
        </w:rPr>
        <w:t xml:space="preserve">   ПОСТАНОВЛЕНИЕ  </w:t>
      </w:r>
      <w:r w:rsidR="00F1583E" w:rsidRPr="00586400">
        <w:rPr>
          <w:rFonts w:ascii="Times New Roman" w:hAnsi="Times New Roman" w:cs="Times New Roman"/>
          <w:b/>
          <w:sz w:val="24"/>
        </w:rPr>
        <w:t xml:space="preserve">  </w:t>
      </w:r>
    </w:p>
    <w:p w:rsidR="0028071E" w:rsidRPr="00315D26" w:rsidRDefault="00162492" w:rsidP="0028071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="00F1583E" w:rsidRPr="00586400">
        <w:rPr>
          <w:rFonts w:ascii="Times New Roman" w:hAnsi="Times New Roman" w:cs="Times New Roman"/>
          <w:b/>
          <w:sz w:val="24"/>
        </w:rPr>
        <w:t xml:space="preserve"> от  </w:t>
      </w:r>
      <w:r w:rsidR="00F83E8D">
        <w:rPr>
          <w:rFonts w:ascii="Times New Roman" w:hAnsi="Times New Roman" w:cs="Times New Roman"/>
          <w:b/>
          <w:sz w:val="24"/>
        </w:rPr>
        <w:t>2</w:t>
      </w:r>
      <w:r w:rsidR="00F83E8D" w:rsidRPr="00F83E8D">
        <w:rPr>
          <w:rFonts w:ascii="Times New Roman" w:hAnsi="Times New Roman" w:cs="Times New Roman"/>
          <w:b/>
          <w:sz w:val="24"/>
        </w:rPr>
        <w:t>2</w:t>
      </w:r>
      <w:r w:rsidR="00315D26">
        <w:rPr>
          <w:rFonts w:ascii="Times New Roman" w:hAnsi="Times New Roman" w:cs="Times New Roman"/>
          <w:b/>
          <w:sz w:val="24"/>
        </w:rPr>
        <w:t xml:space="preserve"> сентября </w:t>
      </w:r>
      <w:r w:rsidR="00F1583E" w:rsidRPr="00586400">
        <w:rPr>
          <w:rFonts w:ascii="Times New Roman" w:hAnsi="Times New Roman" w:cs="Times New Roman"/>
          <w:b/>
          <w:sz w:val="24"/>
        </w:rPr>
        <w:t>2021</w:t>
      </w:r>
      <w:r w:rsidR="0028071E" w:rsidRPr="00586400">
        <w:rPr>
          <w:rFonts w:ascii="Times New Roman" w:hAnsi="Times New Roman" w:cs="Times New Roman"/>
          <w:b/>
          <w:sz w:val="24"/>
        </w:rPr>
        <w:t xml:space="preserve"> г.</w:t>
      </w:r>
      <w:r w:rsidR="009A14E7">
        <w:rPr>
          <w:rFonts w:ascii="Times New Roman" w:hAnsi="Times New Roman" w:cs="Times New Roman"/>
          <w:b/>
          <w:sz w:val="24"/>
        </w:rPr>
        <w:t xml:space="preserve"> № 74</w:t>
      </w:r>
    </w:p>
    <w:p w:rsidR="0028071E" w:rsidRPr="00586400" w:rsidRDefault="00D2277A" w:rsidP="002807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. Мокша</w:t>
      </w:r>
    </w:p>
    <w:p w:rsidR="006B50E9" w:rsidRPr="00586400" w:rsidRDefault="006B50E9">
      <w:pPr>
        <w:widowControl/>
        <w:suppressAutoHyphens w:val="0"/>
        <w:rPr>
          <w:rFonts w:ascii="Times New Roman" w:hAnsi="Times New Roman" w:cs="Times New Roman"/>
          <w:bCs/>
          <w:sz w:val="24"/>
        </w:rPr>
      </w:pPr>
    </w:p>
    <w:p w:rsidR="00315D26" w:rsidRPr="00817D2B" w:rsidRDefault="00315D26" w:rsidP="00315D26">
      <w:pPr>
        <w:pStyle w:val="ConsPlusTitle"/>
        <w:widowControl/>
        <w:jc w:val="both"/>
        <w:rPr>
          <w:b w:val="0"/>
        </w:rPr>
      </w:pPr>
      <w:r>
        <w:rPr>
          <w:b w:val="0"/>
          <w:sz w:val="28"/>
          <w:szCs w:val="28"/>
        </w:rPr>
        <w:t xml:space="preserve">         Об утверждении </w:t>
      </w:r>
      <w:hyperlink r:id="rId6" w:history="1">
        <w:proofErr w:type="gramStart"/>
        <w:r w:rsidRPr="00817D2B">
          <w:rPr>
            <w:rFonts w:eastAsia="Calibri"/>
            <w:b w:val="0"/>
            <w:sz w:val="28"/>
            <w:szCs w:val="28"/>
          </w:rPr>
          <w:t>Порядк</w:t>
        </w:r>
      </w:hyperlink>
      <w:r>
        <w:rPr>
          <w:rFonts w:eastAsia="Calibri"/>
          <w:b w:val="0"/>
          <w:sz w:val="28"/>
          <w:szCs w:val="28"/>
        </w:rPr>
        <w:t>а</w:t>
      </w:r>
      <w:proofErr w:type="gramEnd"/>
      <w:r w:rsidRPr="00817D2B">
        <w:rPr>
          <w:rFonts w:eastAsia="Calibri"/>
          <w:b w:val="0"/>
          <w:sz w:val="28"/>
          <w:szCs w:val="28"/>
        </w:rPr>
        <w:t xml:space="preserve"> формирования перечня налоговых расходов сел</w:t>
      </w:r>
      <w:r>
        <w:rPr>
          <w:rFonts w:eastAsia="Calibri"/>
          <w:b w:val="0"/>
          <w:sz w:val="28"/>
          <w:szCs w:val="28"/>
        </w:rPr>
        <w:t>ьского поселения Мокша</w:t>
      </w:r>
      <w:r w:rsidRPr="00817D2B">
        <w:rPr>
          <w:rFonts w:eastAsia="Calibri"/>
          <w:b w:val="0"/>
          <w:sz w:val="28"/>
          <w:szCs w:val="28"/>
        </w:rPr>
        <w:t xml:space="preserve"> муниципального района Большеглушицкий Самарской области и оценки налоговых расходов сельского поселения </w:t>
      </w:r>
      <w:r>
        <w:rPr>
          <w:rFonts w:eastAsia="Calibri"/>
          <w:b w:val="0"/>
          <w:sz w:val="28"/>
          <w:szCs w:val="28"/>
        </w:rPr>
        <w:t xml:space="preserve">Мокша </w:t>
      </w:r>
      <w:r w:rsidRPr="00817D2B">
        <w:rPr>
          <w:rFonts w:eastAsia="Calibri"/>
          <w:b w:val="0"/>
          <w:sz w:val="28"/>
          <w:szCs w:val="28"/>
        </w:rPr>
        <w:t>муниципального района Большеглушицкий Самарской области</w:t>
      </w:r>
    </w:p>
    <w:p w:rsidR="00315D26" w:rsidRPr="00315D26" w:rsidRDefault="00315D26" w:rsidP="00315D2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D26" w:rsidRPr="00315D26" w:rsidRDefault="00315D26" w:rsidP="00315D26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На основании статьи 174.3 Бюджетного кодекса российской Федерации, Федерального </w:t>
      </w:r>
      <w:hyperlink r:id="rId7" w:history="1">
        <w:r w:rsidRPr="00315D26">
          <w:rPr>
            <w:rFonts w:ascii="Times New Roman" w:eastAsia="Calibri" w:hAnsi="Times New Roman" w:cs="Times New Roman"/>
            <w:color w:val="002060"/>
            <w:sz w:val="28"/>
            <w:szCs w:val="28"/>
          </w:rPr>
          <w:t>закона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315D26">
          <w:rPr>
            <w:rFonts w:ascii="Times New Roman" w:eastAsia="Calibri" w:hAnsi="Times New Roman" w:cs="Times New Roman"/>
            <w:sz w:val="28"/>
            <w:szCs w:val="28"/>
          </w:rPr>
          <w:t>Устава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</w:t>
      </w:r>
    </w:p>
    <w:p w:rsidR="00315D26" w:rsidRPr="00315D26" w:rsidRDefault="00315D26" w:rsidP="00315D2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D2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315D26" w:rsidRPr="00315D26" w:rsidRDefault="00315D26" w:rsidP="00315D26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прилагаемый </w:t>
      </w:r>
      <w:hyperlink r:id="rId9" w:history="1">
        <w:r w:rsidRPr="00315D26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формирования перечня налоговых расходов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и оценки налоговых расходов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области.</w:t>
      </w:r>
    </w:p>
    <w:p w:rsidR="00315D26" w:rsidRPr="00315D26" w:rsidRDefault="00315D26" w:rsidP="00315D26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со дня его подписания.</w:t>
      </w:r>
    </w:p>
    <w:p w:rsidR="00315D26" w:rsidRPr="00315D26" w:rsidRDefault="00315D26" w:rsidP="00315D26">
      <w:pPr>
        <w:widowControl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15D26" w:rsidRPr="00315D26" w:rsidRDefault="00315D26" w:rsidP="00315D26">
      <w:pPr>
        <w:tabs>
          <w:tab w:val="left" w:pos="23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26" w:rsidRPr="00315D26" w:rsidRDefault="00315D26" w:rsidP="00315D26">
      <w:pPr>
        <w:tabs>
          <w:tab w:val="left" w:pos="23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26" w:rsidRPr="00315D26" w:rsidRDefault="00315D26" w:rsidP="00315D26">
      <w:pPr>
        <w:tabs>
          <w:tab w:val="left" w:pos="237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5D26" w:rsidRPr="00315D26" w:rsidRDefault="00315D26" w:rsidP="00315D26">
      <w:pPr>
        <w:rPr>
          <w:rFonts w:ascii="Times New Roman" w:hAnsi="Times New Roman" w:cs="Times New Roman"/>
          <w:sz w:val="28"/>
          <w:szCs w:val="28"/>
        </w:rPr>
      </w:pPr>
    </w:p>
    <w:p w:rsidR="00315D26" w:rsidRPr="00315D26" w:rsidRDefault="00315D26" w:rsidP="00315D26">
      <w:pPr>
        <w:rPr>
          <w:rFonts w:ascii="Times New Roman" w:hAnsi="Times New Roman" w:cs="Times New Roman"/>
          <w:sz w:val="28"/>
          <w:szCs w:val="28"/>
        </w:rPr>
      </w:pPr>
      <w:r w:rsidRPr="00315D26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315D26" w:rsidRPr="00315D26" w:rsidRDefault="00315D26" w:rsidP="00315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Мокша</w:t>
      </w:r>
      <w:r w:rsidRPr="00315D2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15D26" w:rsidRDefault="00315D26" w:rsidP="00315D26">
      <w:pPr>
        <w:rPr>
          <w:rFonts w:ascii="Times New Roman" w:hAnsi="Times New Roman" w:cs="Times New Roman"/>
          <w:sz w:val="28"/>
          <w:szCs w:val="28"/>
        </w:rPr>
      </w:pPr>
      <w:r w:rsidRPr="00315D26">
        <w:rPr>
          <w:rFonts w:ascii="Times New Roman" w:hAnsi="Times New Roman" w:cs="Times New Roman"/>
          <w:sz w:val="28"/>
          <w:szCs w:val="28"/>
        </w:rPr>
        <w:t xml:space="preserve">Большеглушицкий Самарской области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О.А. Девяткин</w:t>
      </w:r>
    </w:p>
    <w:p w:rsidR="00315D26" w:rsidRPr="00315D26" w:rsidRDefault="00315D26" w:rsidP="00315D26">
      <w:pPr>
        <w:rPr>
          <w:rFonts w:ascii="Times New Roman" w:hAnsi="Times New Roman" w:cs="Times New Roman"/>
          <w:sz w:val="28"/>
          <w:szCs w:val="28"/>
        </w:rPr>
      </w:pPr>
    </w:p>
    <w:p w:rsidR="00315D26" w:rsidRPr="00315D26" w:rsidRDefault="00315D26" w:rsidP="00315D26">
      <w:pPr>
        <w:rPr>
          <w:rFonts w:ascii="Times New Roman" w:hAnsi="Times New Roman" w:cs="Times New Roman"/>
          <w:sz w:val="28"/>
          <w:szCs w:val="28"/>
        </w:rPr>
      </w:pPr>
    </w:p>
    <w:p w:rsidR="00315D26" w:rsidRPr="00315D26" w:rsidRDefault="00315D26" w:rsidP="00315D26">
      <w:pPr>
        <w:jc w:val="right"/>
        <w:rPr>
          <w:rFonts w:ascii="Times New Roman" w:hAnsi="Times New Roman" w:cs="Times New Roman"/>
          <w:sz w:val="28"/>
          <w:szCs w:val="28"/>
        </w:rPr>
      </w:pPr>
      <w:r w:rsidRPr="00315D2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Pr="00315D26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Большеглушицкий Самарской области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«Об утверждении </w:t>
      </w:r>
      <w:hyperlink r:id="rId10" w:history="1">
        <w:proofErr w:type="gramStart"/>
        <w:r w:rsidRPr="00315D26">
          <w:rPr>
            <w:rFonts w:ascii="Times New Roman" w:eastAsia="Calibri" w:hAnsi="Times New Roman" w:cs="Times New Roman"/>
            <w:sz w:val="28"/>
            <w:szCs w:val="28"/>
          </w:rPr>
          <w:t>Порядк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формирования перечня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налоговых расходов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муниципального района Большеглушицкий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Самарской области и оценки налоговых расходов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района Большеглушицкий Самарской области»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15D2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от </w:t>
      </w:r>
      <w:r w:rsidR="00F83E8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2</w:t>
      </w:r>
      <w:r w:rsidR="00F83E8D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сентября </w:t>
      </w:r>
      <w:r w:rsidRPr="00315D2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2021г. № </w:t>
      </w:r>
      <w:r w:rsidR="009A14E7">
        <w:rPr>
          <w:rFonts w:ascii="Times New Roman" w:eastAsia="Calibri" w:hAnsi="Times New Roman" w:cs="Times New Roman"/>
          <w:sz w:val="28"/>
          <w:szCs w:val="28"/>
          <w:u w:val="single"/>
        </w:rPr>
        <w:t>74</w:t>
      </w:r>
    </w:p>
    <w:p w:rsidR="00315D26" w:rsidRPr="00315D26" w:rsidRDefault="00315D26" w:rsidP="00315D26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708D2" w:rsidP="00315D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315D26" w:rsidRPr="00315D26">
          <w:rPr>
            <w:rFonts w:ascii="Times New Roman" w:eastAsia="Calibri" w:hAnsi="Times New Roman" w:cs="Times New Roman"/>
            <w:sz w:val="28"/>
            <w:szCs w:val="28"/>
          </w:rPr>
          <w:t>Порядок</w:t>
        </w:r>
      </w:hyperlink>
      <w:r w:rsidR="00315D26" w:rsidRPr="00315D26">
        <w:rPr>
          <w:rFonts w:ascii="Times New Roman" w:eastAsia="Calibri" w:hAnsi="Times New Roman" w:cs="Times New Roman"/>
          <w:sz w:val="28"/>
          <w:szCs w:val="28"/>
        </w:rPr>
        <w:t xml:space="preserve"> формирования перечня налоговых расходов сельского поселения </w:t>
      </w:r>
      <w:r w:rsidR="00315D26">
        <w:rPr>
          <w:rFonts w:ascii="Times New Roman" w:eastAsia="Calibri" w:hAnsi="Times New Roman" w:cs="Times New Roman"/>
          <w:sz w:val="28"/>
          <w:szCs w:val="28"/>
        </w:rPr>
        <w:t>Мокша</w:t>
      </w:r>
      <w:r w:rsidR="00315D26"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и оценки налоговых расходов сельского поселения </w:t>
      </w:r>
      <w:r w:rsidR="00315D26">
        <w:rPr>
          <w:rFonts w:ascii="Times New Roman" w:eastAsia="Calibri" w:hAnsi="Times New Roman" w:cs="Times New Roman"/>
          <w:sz w:val="28"/>
          <w:szCs w:val="28"/>
        </w:rPr>
        <w:t>Мокша</w:t>
      </w:r>
      <w:r w:rsidR="00315D26"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315D26" w:rsidRPr="00315D26" w:rsidRDefault="00315D26" w:rsidP="00315D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(далее – Порядок)</w:t>
      </w:r>
    </w:p>
    <w:p w:rsidR="00315D26" w:rsidRPr="00315D26" w:rsidRDefault="00315D26" w:rsidP="00315D26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>I. Общие положения</w:t>
      </w:r>
    </w:p>
    <w:p w:rsidR="00315D26" w:rsidRPr="00315D26" w:rsidRDefault="00315D26" w:rsidP="00315D26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1. Настоящий Порядок определяет порядок формирования перечня налоговых расходов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перечень налоговых расходов) и оценки налоговых расходов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налоговые расходы).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2. В целях настоящего Порядка применяются следующие понятия и термины: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куратор налогового расхода – администрация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администрация поселения), ответственная в соответствии с полномочиями, установленными муниципальными правовыми актами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муниципальные правовые акты), за достижение соответствующих налоговому расходу целей муниципальной программы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муниципальная программа) и (или) целей стратегии социально-экономического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развития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стратегия), не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относящихся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к муниципальным программам;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нормативные характеристики налоговых расходов – сведения о положениях муниципальных правовых актов,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льготы;</w:t>
      </w:r>
      <w:proofErr w:type="gramEnd"/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lastRenderedPageBreak/>
        <w:t>оценка налоговых расходов – комплекс мероприятий по оценке объемов налоговых расходов, обусловленных льготами, предоставленными плательщикам, а также по оценке эффективности налоговых расходов;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оценка объемов налоговых расходов – определение объемов выпадающих доходов бюджета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(далее – бюджет), обусловленных льготами, предоставленными плательщикам;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оценка эффективности налоговых расходов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перечень налоговых расходов – документ, содержащий сведения о распределении налоговых расходов в соответствии с целями муниципальных программ и (или) целями стратегии, не относящимися к муниципальным программам, а также о кураторе налоговых расходов;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плательщики – плательщики налогов;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социальные налоговые расходы – целевая категория налоговых расходов, обусловленных необходимостью обеспечения социальной защиты (поддержки) населения;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стимулирующие налоговые расходы –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бюджета;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технические налоговые расходы – целевая категория налоговых расходов, предполагающих уменьшение расходов плательщиков, имеющих право на льготы, финансовое обеспечение которых осуществляется в полном объеме или частично за счет бюджета;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фискальные характеристики налоговых расходов – сведения об объеме льгот, предоставленных плательщикам, о численности получателей льгот, об объеме налогов, задекларированных ими для уплаты в бюджет;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целевые характеристики налоговых расходов – сведения о целях предоставления, показателях (индикаторах) достижения целей предоставления льготы.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3. В целях оценки налоговых расходов администрация поселения: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30"/>
      <w:bookmarkEnd w:id="1"/>
      <w:r w:rsidRPr="00315D26">
        <w:rPr>
          <w:rFonts w:ascii="Times New Roman" w:eastAsia="Calibri" w:hAnsi="Times New Roman" w:cs="Times New Roman"/>
          <w:sz w:val="28"/>
          <w:szCs w:val="28"/>
        </w:rPr>
        <w:t>а) определяет порядок формирования перечня налоговых расходов;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б) определяет правила формирования информации о нормативных, целевых и фискальных характеристиках налоговых расходов;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в) определяет порядок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обобщения результатов оценки эффективности налоговых расходов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4. Отнесение налоговых расходов к муниципальным программам осуществляется исходя из целей муниципальных программ и (или) целей стратегии, не относящихся к муниципальным программам.</w:t>
      </w:r>
    </w:p>
    <w:p w:rsidR="00315D26" w:rsidRPr="00315D26" w:rsidRDefault="00315D26" w:rsidP="00315D26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II. Формирование перечня налоговых расходов</w:t>
      </w:r>
    </w:p>
    <w:p w:rsidR="00315D26" w:rsidRPr="00315D26" w:rsidRDefault="00315D26" w:rsidP="00315D26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39"/>
      <w:bookmarkEnd w:id="2"/>
      <w:r w:rsidRPr="00315D26">
        <w:rPr>
          <w:rFonts w:ascii="Times New Roman" w:eastAsia="Calibri" w:hAnsi="Times New Roman" w:cs="Times New Roman"/>
          <w:sz w:val="28"/>
          <w:szCs w:val="28"/>
        </w:rPr>
        <w:t>5. Проект перечня налоговых расходов на текущий финансовый год и плановый период формируется администрацией поселения в течение 30 дней со дня вступления в силу настоящего Порядка, а в последующие годы проект перечня налоговых расходов на очередной финансовый год и плановый период формируется администрацией поселения до 25 марта.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40"/>
      <w:bookmarkEnd w:id="3"/>
      <w:r w:rsidRPr="00315D26">
        <w:rPr>
          <w:rFonts w:ascii="Times New Roman" w:eastAsia="Calibri" w:hAnsi="Times New Roman" w:cs="Times New Roman"/>
          <w:sz w:val="28"/>
          <w:szCs w:val="28"/>
        </w:rPr>
        <w:t>6. Перечень налоговых расходов в течение 3 рабочих дней со дня его формирования размещается на официальном сайте администрации поселения в информационно-телекоммуникационной сети "Интернет".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В случае введения новых налоговых расходов и (или) отмены действующих налоговых расходов, внесения в текущем финансовом году изменений в перечень муниципальных программ и (или) в случае изменения полномочий администрации поселения, в связи с которыми возникает необходимость внесения изменений в перечень налоговых расходов, администрация поселения не позднее 10 рабочих дней со дня возникновения соответствующих обстоятельств уточняет перечень налоговых расходов.</w:t>
      </w:r>
      <w:proofErr w:type="gramEnd"/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Перечень налоговых расходов с внесенными в него изменениями формируется до 1 сентября (в случае уточнения структурных элементов муниципальных программ в рамках формирования проекта решения Собрания представителей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о бюджете на очередной финансовый год и плановый период) и до 1 ноября (в случае уточнения структурных элементов муниципальных программ в рамках рассмотрения и утверждения проекта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представителей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 о бюджете на очередной финансовый год и плановый период).</w:t>
      </w:r>
    </w:p>
    <w:p w:rsidR="00315D26" w:rsidRPr="00315D26" w:rsidRDefault="00315D26" w:rsidP="00315D26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 xml:space="preserve">III. Правила формирования информации о </w:t>
      </w:r>
      <w:proofErr w:type="gramStart"/>
      <w:r w:rsidRPr="00315D26">
        <w:rPr>
          <w:rFonts w:ascii="Times New Roman" w:eastAsia="Calibri" w:hAnsi="Times New Roman" w:cs="Times New Roman"/>
          <w:bCs/>
          <w:sz w:val="28"/>
          <w:szCs w:val="28"/>
        </w:rPr>
        <w:t>нормативных</w:t>
      </w:r>
      <w:proofErr w:type="gramEnd"/>
      <w:r w:rsidRPr="00315D26">
        <w:rPr>
          <w:rFonts w:ascii="Times New Roman" w:eastAsia="Calibri" w:hAnsi="Times New Roman" w:cs="Times New Roman"/>
          <w:bCs/>
          <w:sz w:val="28"/>
          <w:szCs w:val="28"/>
        </w:rPr>
        <w:t>, целевых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 xml:space="preserve">и фискальных </w:t>
      </w:r>
      <w:proofErr w:type="gramStart"/>
      <w:r w:rsidRPr="00315D26">
        <w:rPr>
          <w:rFonts w:ascii="Times New Roman" w:eastAsia="Calibri" w:hAnsi="Times New Roman" w:cs="Times New Roman"/>
          <w:bCs/>
          <w:sz w:val="28"/>
          <w:szCs w:val="28"/>
        </w:rPr>
        <w:t>характеристиках</w:t>
      </w:r>
      <w:proofErr w:type="gramEnd"/>
      <w:r w:rsidRPr="00315D26">
        <w:rPr>
          <w:rFonts w:ascii="Times New Roman" w:eastAsia="Calibri" w:hAnsi="Times New Roman" w:cs="Times New Roman"/>
          <w:bCs/>
          <w:sz w:val="28"/>
          <w:szCs w:val="28"/>
        </w:rPr>
        <w:t xml:space="preserve"> налоговых расходов</w:t>
      </w:r>
    </w:p>
    <w:p w:rsidR="00315D26" w:rsidRPr="00315D26" w:rsidRDefault="00315D26" w:rsidP="00315D26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9. В целях проведения оценки налоговых расходов администрация поселения самостоятельно формирует информацию о нормативных, целевых и фискальных характеристиках налоговых расходов в сроки, установленные настоящим Порядком для проведения оценки налоговых расходов.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10. Информация о нормативных характеристиках налоговых расходов формируется на основании перечня налоговых расходов.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11. Информация о целевых характеристиках налоговых расходов формируется с учетом предоставляемой льготы и перечня налоговых расходов.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12. Информация о фискальных характеристиках налоговых расходов формируется на основании данных, предоставленных Управлением Федеральной налоговой службы по Самарской области (далее - УФНС России по Самарской области).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lastRenderedPageBreak/>
        <w:t>13. Администрация поселения направляет запрос в УФНС России по Самарской области до 1 июля текущего финансового года по следующим показателям с приложением перечня налоговых расходов: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- объем льгот, предоставленных плательщикам в отчетном финансовом году (тыс. рублей);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- общая численность (количество) плательщиков, потенциально имеющих право на получение соответствующей льготы в отчетном финансовом году и за 4 (четыре) года, предшествующих отчетному финансовому году (единиц);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- численность (количество) плательщиков, воспользовавшихся правом на получение льгот в отчетном финансовом году и за 4 (четыре) года, предшествующих отчетному финансовому году (единиц);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- объем налогов, подлежащих уплате в бюджет (тыс. рублей).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14. Администрация поселения в течение 10 рабочих дней после получения соответствующей информации от УФНС России по Самарской области формирует сводную информацию о нормативных, целевых и фискальных характеристиках налоговых расходов для проведения оценки налоговых расходов.</w:t>
      </w: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>I</w:t>
      </w:r>
      <w:r w:rsidRPr="00315D26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</w:t>
      </w:r>
      <w:r w:rsidRPr="00315D26">
        <w:rPr>
          <w:rFonts w:ascii="Times New Roman" w:eastAsia="Calibri" w:hAnsi="Times New Roman" w:cs="Times New Roman"/>
          <w:bCs/>
          <w:sz w:val="28"/>
          <w:szCs w:val="28"/>
        </w:rPr>
        <w:t>. Порядок оценки налоговых расходов</w:t>
      </w:r>
    </w:p>
    <w:p w:rsidR="00315D26" w:rsidRPr="00315D26" w:rsidRDefault="00315D26" w:rsidP="00315D26">
      <w:pPr>
        <w:widowControl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15. Оценка эффективности налоговых расходов осуществляется администрацией поселения ежегодно за отчетный финансовый год по каждому налоговому расходу в срок до 1 октября текущего финансового года.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16. Оценка эффективности налоговых расходов включает: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а) оценку целесообразности налоговых расходов;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б) оценку результативности налоговых расходов.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61"/>
      <w:bookmarkEnd w:id="4"/>
      <w:r w:rsidRPr="00315D26">
        <w:rPr>
          <w:rFonts w:ascii="Times New Roman" w:eastAsia="Calibri" w:hAnsi="Times New Roman" w:cs="Times New Roman"/>
          <w:sz w:val="28"/>
          <w:szCs w:val="28"/>
        </w:rPr>
        <w:t>17. Критериями целесообразности налоговых расходов являются: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а) соответствие налоговых расходов целям муниципальных программ и (или) целям стратегии, не относящимся к муниципальным программам. Налоговые расходы признаются соответствующими целям муниципальных программ и (или) целям стратегии, не относящимся к муниципальным программам, в случае наличия прямого или косвенного влияния налоговых расходов на достижение целей муниципальных программ и (или) целей стратегии, не относящихся к муниципальным программам. Прямое влияние налоговых расходов на цели муниципальной программы и (или) цели стратегии, не относящиеся к муниципальным программам, характеризуется понятной и однозначно воспринимаемой связью между налоговыми расходами и целями муниципальной программы и (или) целями стратегии, не относящимися к муниципальным программам. Косвенное влияние налоговых расходов на цели муниципальной программы и (или) цели стратегии, не относящиеся к муниципальным программам, характеризуется опосредованной связью между налоговыми расходами и целями муниципальной программы и (или) целями стратегии, не относящимися к муниципальным программам;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б) востребованность плательщиками предоставленных льгот,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которая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 </w:t>
      </w:r>
      <w:r w:rsidRPr="00315D26">
        <w:rPr>
          <w:rFonts w:ascii="Times New Roman" w:eastAsia="Calibri" w:hAnsi="Times New Roman" w:cs="Times New Roman"/>
          <w:sz w:val="28"/>
          <w:szCs w:val="28"/>
        </w:rPr>
        <w:lastRenderedPageBreak/>
        <w:t>Налоговые расходы считаются востребованными при превышении значения показателя востребованности над его пороговым значением. Пороговое значение показателя востребованности составляет 10 %. Показатель востребованности определяется по следующей формуле: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= (К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вi-4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вi-3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вi-2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вi-1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>) / (К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i-4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i-3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i-2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i-1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+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>) x 100%,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показатель востребованности налогового расхода;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К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численность (количество) плательщиков, воспользовавшихся правом на льготы;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общая численность (количество) плательщиков;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i - отчетный год.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Под общей численностью (количеством) плательщиков понимается количество плательщиков, потенциально имеющих право на получение соответствующей льготы.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18. В случае несоответствия налоговых расходов хотя бы одному из критериев, указанных в </w:t>
      </w:r>
      <w:hyperlink w:anchor="Par61" w:history="1">
        <w:r w:rsidRPr="00315D26">
          <w:rPr>
            <w:rFonts w:ascii="Times New Roman" w:eastAsia="Calibri" w:hAnsi="Times New Roman" w:cs="Times New Roman"/>
            <w:color w:val="0000FF"/>
            <w:sz w:val="28"/>
            <w:szCs w:val="28"/>
          </w:rPr>
          <w:t>пункте 17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администрация поселения принимает решение о сохранении (уточнении, отмене) льгот для плательщиков.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19. В качестве критерия результативности налогового расхода определяется как минимум один показатель (индикатор) достижения целей муниципальной программы и (или) целей стратегии, не относящихся к муниципальным программам, либо иной показатель (индикатор), на значение которого оказывают влияние налоговые расходы.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 (или) целей стратегии,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льгот, и определяется по следующей формуле: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О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вклад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/л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без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/л</w:t>
      </w:r>
      <w:r w:rsidRPr="00315D26">
        <w:rPr>
          <w:rFonts w:ascii="Times New Roman" w:eastAsia="Calibri" w:hAnsi="Times New Roman" w:cs="Times New Roman"/>
          <w:sz w:val="28"/>
          <w:szCs w:val="28"/>
        </w:rPr>
        <w:t>,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О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вклад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вклад льготы в достижение соответствующих целей;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с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/л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значение показателя (индикатора) достижения соответствующих целей с учетом льгот;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без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/л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- значение показателя (индикатора) достижения соответствующих целей без учета льгот.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Если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О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вклад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&gt; 0, то вклад льготы в достижение соответствующих целей считается результативным; если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О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вклад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&lt; 0 или </w:t>
      </w:r>
      <w:proofErr w:type="spellStart"/>
      <w:r w:rsidRPr="00315D26">
        <w:rPr>
          <w:rFonts w:ascii="Times New Roman" w:eastAsia="Calibri" w:hAnsi="Times New Roman" w:cs="Times New Roman"/>
          <w:sz w:val="28"/>
          <w:szCs w:val="28"/>
        </w:rPr>
        <w:t>О</w:t>
      </w:r>
      <w:r w:rsidRPr="00315D26">
        <w:rPr>
          <w:rFonts w:ascii="Times New Roman" w:eastAsia="Calibri" w:hAnsi="Times New Roman" w:cs="Times New Roman"/>
          <w:sz w:val="28"/>
          <w:szCs w:val="28"/>
          <w:vertAlign w:val="subscript"/>
        </w:rPr>
        <w:t>вклад</w:t>
      </w:r>
      <w:proofErr w:type="spell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= 0 - нерезультативным.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20. Оценка результативности налоговых расходов включает оценку бюджетной эффективности налоговых расходов.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21.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В целях проведения оценки бюджетной эффективности налоговых расходов осуществляются сравнительный анализ результативности предоставления льгот в случае предоставления и (или) планируемого предоставления льгот и результативности применения альтернативных механизмов достижения целей муниципальной программы и (или) целей стратегии, не относящихся к муниципальным программам, включающий сравнение объемов расходов бюджета в </w:t>
      </w:r>
      <w:r w:rsidRPr="00315D26">
        <w:rPr>
          <w:rFonts w:ascii="Times New Roman" w:eastAsia="Calibri" w:hAnsi="Times New Roman" w:cs="Times New Roman"/>
          <w:sz w:val="28"/>
          <w:szCs w:val="28"/>
        </w:rPr>
        <w:lastRenderedPageBreak/>
        <w:t>случае применения альтернативных механизмов достижения целей муниципальной программы и (или) целей стратегии, не относящихся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к муниципальным программам, и объемов предоставленных льгот в случае предоставления и (или) планируемого предоставления льгот (расчет прироста показателя (индикатора) достижения целей муниципальной программы и (или) целей стратегии, не относящихся к муниципальным программам, на 1 рубль налоговых расходов и на 1 рубль расходов бюджета для достижения того же показателя (индикатора) в случае применения альтернативных механизмов), а также оценка совокупного бюджетного эффекта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(самоокупаемости) стимулирующих налоговых расходов.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Налоговый расход признается не эффективным, если:</w:t>
      </w:r>
    </w:p>
    <w:p w:rsidR="00315D26" w:rsidRPr="00315D26" w:rsidRDefault="00315D26" w:rsidP="00315D26">
      <w:pPr>
        <w:widowControl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65A18620" wp14:editId="00A376AF">
            <wp:extent cx="21336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Налоговый расход признается эффективным, если: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A0CD11F" wp14:editId="78BF58EB">
            <wp:extent cx="21240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где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с/л, прирост - прирост значения показателя (индикатора) достижения соответствующих целей с учетом льгот;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без/л, прирост - прирост значения показателя (индикатора) достижения соответствующих целей без учета льгот;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А - объем альтернативного механизма, определяемого в количественном выражении, руб.;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НР - сумма налогового расхода, руб.</w:t>
      </w:r>
    </w:p>
    <w:p w:rsidR="00315D26" w:rsidRPr="00315D26" w:rsidRDefault="00315D26" w:rsidP="00315D26">
      <w:pPr>
        <w:widowControl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22. В качестве альтернативных механизмов достижения целей муниципальной программы и (или) целей стратегии, не относящихся к муниципальным программам, могут учитываться в том числе: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бюджета;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б) предоставление муниципальных гарантий по обязательствам плательщиков, имеющих право на льготы;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в)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23. </w:t>
      </w: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По итогам оценки эффективности налоговых расходов администрация поселения обобщает результаты оценки каждого налогового расхода и формирует </w:t>
      </w:r>
      <w:hyperlink r:id="rId14" w:history="1">
        <w:r w:rsidRPr="00315D26">
          <w:rPr>
            <w:rFonts w:ascii="Times New Roman" w:eastAsia="Calibri" w:hAnsi="Times New Roman" w:cs="Times New Roman"/>
            <w:sz w:val="28"/>
            <w:szCs w:val="28"/>
          </w:rPr>
          <w:t>заключение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об оценке каждого налогового расхода по форме согласно приложению к настоящему Порядку, содержащее, в том числе, выводы о достижении целевых характеристик налогового расхода, о вкладе налогового расхода в достижение целей муниципальной программы и (или) целей стратегии, не относящихся к муниципальным программам, а также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о наличии или об отсутствии более результативных (менее затратных для бюджета) альтернативных механизмов </w:t>
      </w:r>
      <w:r w:rsidRPr="00315D26">
        <w:rPr>
          <w:rFonts w:ascii="Times New Roman" w:eastAsia="Calibri" w:hAnsi="Times New Roman" w:cs="Times New Roman"/>
          <w:sz w:val="28"/>
          <w:szCs w:val="28"/>
        </w:rPr>
        <w:lastRenderedPageBreak/>
        <w:t>достижения целей муниципальной программы и (или) целей стратегии, не относящихся к муниципальным программам.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24. Результаты оценки налоговых расходов учитываются при формировании основных направлений бюджетной и налоговой политики 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области, а также при проведении оценки эффективности реализации муниципальных программ.</w:t>
      </w: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5D26" w:rsidRPr="00315D26" w:rsidRDefault="00315D26" w:rsidP="00315D26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  <w:sectPr w:rsidR="00315D26" w:rsidRPr="00315D26" w:rsidSect="00D251C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15D26" w:rsidRPr="00315D26" w:rsidRDefault="00315D26" w:rsidP="00315D26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315D26" w:rsidRPr="00315D26" w:rsidRDefault="00315D26" w:rsidP="00315D26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hyperlink r:id="rId15" w:history="1">
        <w:proofErr w:type="gramStart"/>
        <w:r w:rsidRPr="00315D26">
          <w:rPr>
            <w:rFonts w:ascii="Times New Roman" w:eastAsia="Calibri" w:hAnsi="Times New Roman" w:cs="Times New Roman"/>
            <w:sz w:val="28"/>
            <w:szCs w:val="28"/>
          </w:rPr>
          <w:t>Порядк</w:t>
        </w:r>
      </w:hyperlink>
      <w:r w:rsidRPr="00315D26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формирования перечня налоговых расходов</w:t>
      </w:r>
    </w:p>
    <w:p w:rsidR="00315D26" w:rsidRPr="00315D26" w:rsidRDefault="00315D26" w:rsidP="00315D26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315D26" w:rsidRPr="00315D26" w:rsidRDefault="00315D26" w:rsidP="00315D26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Большеглушицкий Самарской области и оценки налоговых расходов</w:t>
      </w:r>
    </w:p>
    <w:p w:rsidR="00315D26" w:rsidRPr="00315D26" w:rsidRDefault="00315D26" w:rsidP="00315D26">
      <w:pPr>
        <w:widowControl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Большеглушицкий Самарской области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 xml:space="preserve">ЗАКЛЮЧЕНИЕ 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 xml:space="preserve">об оценке налоговых расходов </w:t>
      </w:r>
      <w:r w:rsidRPr="00315D26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Calibri" w:hAnsi="Times New Roman" w:cs="Times New Roman"/>
          <w:sz w:val="28"/>
          <w:szCs w:val="28"/>
        </w:rPr>
        <w:t>Мокша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5D26">
        <w:rPr>
          <w:rFonts w:ascii="Times New Roman" w:eastAsia="Calibri" w:hAnsi="Times New Roman" w:cs="Times New Roman"/>
          <w:sz w:val="28"/>
          <w:szCs w:val="28"/>
        </w:rPr>
        <w:t>муниципального района Большеглушицкий Самарской области</w:t>
      </w:r>
    </w:p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315D26">
        <w:rPr>
          <w:rFonts w:ascii="Times New Roman" w:eastAsia="Calibri" w:hAnsi="Times New Roman" w:cs="Times New Roman"/>
          <w:bCs/>
          <w:sz w:val="28"/>
          <w:szCs w:val="28"/>
        </w:rPr>
        <w:t xml:space="preserve">(далее – налоговые расходы) </w:t>
      </w:r>
    </w:p>
    <w:p w:rsidR="00315D26" w:rsidRPr="00315D26" w:rsidRDefault="00315D26" w:rsidP="00315D26">
      <w:pPr>
        <w:widowControl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3"/>
        <w:gridCol w:w="556"/>
        <w:gridCol w:w="848"/>
        <w:gridCol w:w="582"/>
        <w:gridCol w:w="412"/>
        <w:gridCol w:w="340"/>
        <w:gridCol w:w="276"/>
        <w:gridCol w:w="340"/>
        <w:gridCol w:w="283"/>
        <w:gridCol w:w="340"/>
        <w:gridCol w:w="89"/>
        <w:gridCol w:w="761"/>
        <w:gridCol w:w="426"/>
        <w:gridCol w:w="708"/>
        <w:gridCol w:w="993"/>
        <w:gridCol w:w="275"/>
        <w:gridCol w:w="226"/>
        <w:gridCol w:w="397"/>
        <w:gridCol w:w="724"/>
        <w:gridCol w:w="624"/>
        <w:gridCol w:w="624"/>
        <w:gridCol w:w="425"/>
        <w:gridCol w:w="397"/>
        <w:gridCol w:w="224"/>
        <w:gridCol w:w="229"/>
        <w:gridCol w:w="1614"/>
        <w:gridCol w:w="1417"/>
      </w:tblGrid>
      <w:tr w:rsidR="00315D26" w:rsidRPr="00315D26" w:rsidTr="00BF7409">
        <w:tc>
          <w:tcPr>
            <w:tcW w:w="53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куратора налоговых расходов </w:t>
            </w:r>
          </w:p>
        </w:tc>
        <w:tc>
          <w:tcPr>
            <w:tcW w:w="101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Общие данные </w:t>
            </w:r>
          </w:p>
        </w:tc>
      </w:tr>
      <w:tr w:rsidR="00315D26" w:rsidRPr="00315D26" w:rsidTr="00BF7409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местного налога, по которому предусматриваются льготы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налогового расхода 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>Целевая категория налогового расхода (</w:t>
            </w:r>
            <w:proofErr w:type="gramStart"/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социальные</w:t>
            </w:r>
            <w:proofErr w:type="gramEnd"/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технические, стимулирующие) </w:t>
            </w:r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Категория плательщиков, для которых предусмотрены льготы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Целевая категория плательщиков, для которых предусмотрены льготы 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выпадающих доходов бюджета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Мокша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Большеглушицкий Самарской области в отчетном финансовом году </w:t>
            </w:r>
          </w:p>
        </w:tc>
      </w:tr>
      <w:tr w:rsidR="00315D26" w:rsidRPr="00315D26" w:rsidTr="00BF7409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</w:tc>
      </w:tr>
      <w:tr w:rsidR="00315D26" w:rsidRPr="00315D26" w:rsidTr="00BF7409"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Оценка целесообразности налоговых расходов </w:t>
            </w: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2.1. Соответствие налоговых расходов целям муниципальных программ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Мокша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Большеглушицкий Самарской области (далее – муниципальные программы) и (или) целям стратегии социально-экономического развития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Мокша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Большеглушицкий Самарской области (далее – стратегия), не относящимся к муниципальным программам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местного налога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налогового расхода 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Цели предоставления налогового расхода 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муниципальной программы и (или) наименование цели стратегии, не относящейся к муниципальным программам, в </w:t>
            </w:r>
            <w:proofErr w:type="gramStart"/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>целях</w:t>
            </w:r>
            <w:proofErr w:type="gramEnd"/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реализации которых предоставляются льготы 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 муниципальной программы, в целях реализации которой предоставляются льготы </w:t>
            </w:r>
          </w:p>
        </w:tc>
        <w:tc>
          <w:tcPr>
            <w:tcW w:w="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Соответствие налоговых расходов целям муниципальных программ и (или) целям стратегии, не относящимся к муниципальным программам (прямое/косвенное)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Описание обоснования взаимосвязи между налоговым расходом и целями муниципальной программы и (или) целями стратегии, не относящимися к муниципальным программам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2.2. Востребованность плательщиками предоставленных льгот </w:t>
            </w:r>
          </w:p>
        </w:tc>
      </w:tr>
      <w:tr w:rsidR="00315D26" w:rsidRPr="00315D26" w:rsidTr="00BF7409"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местного налога 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налогового расхода </w:t>
            </w:r>
          </w:p>
        </w:tc>
        <w:tc>
          <w:tcPr>
            <w:tcW w:w="34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Численность (количество) плательщиков, воспользовавшихся правом на льготы (единиц) </w:t>
            </w:r>
          </w:p>
        </w:tc>
        <w:tc>
          <w:tcPr>
            <w:tcW w:w="2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Показатель, характеризующий общую численность (количество) плательщиков 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местного налога, по которому предоставляются льготы </w:t>
            </w:r>
          </w:p>
        </w:tc>
        <w:tc>
          <w:tcPr>
            <w:tcW w:w="3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Общая численность (количество) плательщиков местного налога, потенциально имеющих право на получение льготы (единиц) </w:t>
            </w:r>
          </w:p>
        </w:tc>
        <w:tc>
          <w:tcPr>
            <w:tcW w:w="20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Пороговое значение показателя востребованности налогового расхода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показателя востребованности налогового расхода 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в</w:t>
            </w:r>
            <w:proofErr w:type="spellEnd"/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его оценка </w:t>
            </w:r>
          </w:p>
        </w:tc>
      </w:tr>
      <w:tr w:rsidR="00315D26" w:rsidRPr="00315D26" w:rsidTr="00BF7409"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(i-4) 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(i-3)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(i-2) 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(i-1)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Отчетный год (i) </w:t>
            </w:r>
          </w:p>
        </w:tc>
        <w:tc>
          <w:tcPr>
            <w:tcW w:w="2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(i-4)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(i-3)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(i-2)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 (i-1)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Отчетный год (i) </w:t>
            </w:r>
          </w:p>
        </w:tc>
        <w:tc>
          <w:tcPr>
            <w:tcW w:w="20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Оценка результативности налоговых расходов </w:t>
            </w: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3.1. Оценка вклада предусмотренных для плательщиков льгот в изменение значения показателя (индикатора) достижения цели (целей) муниципальной программы и (или) целей стратегии, не относящихся к муниципальным программам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местного налога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налогового расхода 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Показатели (индикаторы) достижения целей муниципальных программ и (или) целей стратегии, не относящихся к муниципальным программам, в связи с предоставлением льгот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Значения показателей (индикаторов) достижения целей муниципальных программ и (или) целей стратегии, не относящихся к муниципальным программам, в отчетном финансовом году с учетом предоставления льгот </w:t>
            </w: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Значения показателей (индикаторов) достижения целей муниципальных программ и (или) целей стратегии, не относящихся к муниципальным программам, в отчетном финансовом году без учета предоставления льгот 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Разница между значениями показателей (гр. 4 - гр. 5), оценка вклада льготы в достижение соответствующих целей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Комментарии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3.2. Оценка бюджетной эффективности налоговых расходов </w:t>
            </w:r>
          </w:p>
        </w:tc>
      </w:tr>
      <w:tr w:rsidR="00315D26" w:rsidRPr="00315D26" w:rsidTr="00BF7409">
        <w:tc>
          <w:tcPr>
            <w:tcW w:w="1551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outlineLvl w:val="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3.2.1. Сравнительный анализ результативности предоставления льгот в отчетном финансовом году и результативности применения альтернативных механизмов достижения цели (целей) муниципальной программы и (или) целей стратегии, не относящихся к муниципальным программам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местного налога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налогового расхода 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льгот, предоставленных плательщикам в отчетном финансовом году (тыс. рублей)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Прирост показателя (индикатора) достижения цели (целей) муниципальных программ и (или) целей стратегии, не относящихся к муниципальным программам, в связи с предоставлением льгот на 1 рубль налоговых расходов 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Вид альтернативного механизма 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расходов бюджета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Мокша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Большеглушицкий Самарской области в случае применения альтернативных механизмов достижения цели (целей) муниципальной программы и (или) целей стратегии, не относящихся 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 муниципальным программам (тыс. рублей) 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Прирост показателя (индикатора) достижения цели (целей) муниципальных программ и (или) целей стратегии, не относящихся к муниципальным программам, в связи с применением альтернативного механизма на 1 рубль расходов бюджета сельского поселения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Мокша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района </w:t>
            </w: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Большеглушицкий Самарской области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Сравнение видов муниципальной поддержки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Комментарии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315D26" w:rsidRPr="00315D26" w:rsidTr="00BF7409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D26" w:rsidRPr="00315D26" w:rsidRDefault="00315D26" w:rsidP="00BF7409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15D26" w:rsidRPr="00315D26" w:rsidRDefault="00315D26" w:rsidP="00315D26">
      <w:pPr>
        <w:widowControl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15D26">
        <w:rPr>
          <w:rFonts w:ascii="Times New Roman" w:eastAsia="Calibri" w:hAnsi="Times New Roman" w:cs="Times New Roman"/>
          <w:sz w:val="28"/>
          <w:szCs w:val="28"/>
        </w:rPr>
        <w:t>Выводы о достижении целевых характеристик налогового расхода, о вкладе налогового расхода в достижение целей муниципальной программы и (или) целей стратегии, не относящихся к муниципальным программам, а также о наличии или об отсутствии более результативных (менее затратных для бюджета) альтернативных механизмов достижения целей муниципальной программы и (или) целей стратегии, не относящихся к муниципальным программам</w:t>
      </w:r>
      <w:proofErr w:type="gramEnd"/>
    </w:p>
    <w:p w:rsidR="00315D26" w:rsidRPr="00315D26" w:rsidRDefault="00315D26" w:rsidP="00315D26">
      <w:pPr>
        <w:widowControl/>
        <w:suppressAutoHyphens w:val="0"/>
        <w:rPr>
          <w:rFonts w:ascii="Times New Roman" w:eastAsia="Calibri" w:hAnsi="Times New Roman" w:cs="Times New Roman"/>
          <w:sz w:val="28"/>
          <w:szCs w:val="28"/>
        </w:rPr>
        <w:sectPr w:rsidR="00315D26" w:rsidRPr="00315D26" w:rsidSect="00315D26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  <w:r w:rsidRPr="00315D2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0"/>
    </w:p>
    <w:p w:rsidR="006B50E9" w:rsidRDefault="006B50E9" w:rsidP="00315D26">
      <w:pPr>
        <w:widowControl/>
        <w:suppressAutoHyphens w:val="0"/>
      </w:pPr>
    </w:p>
    <w:p w:rsidR="006B50E9" w:rsidRDefault="006B50E9">
      <w:pPr>
        <w:pStyle w:val="ab"/>
        <w:ind w:right="559"/>
      </w:pPr>
    </w:p>
    <w:sectPr w:rsidR="006B50E9" w:rsidSect="00315D26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E9"/>
    <w:rsid w:val="00084E14"/>
    <w:rsid w:val="00110153"/>
    <w:rsid w:val="00135787"/>
    <w:rsid w:val="00151E35"/>
    <w:rsid w:val="00162492"/>
    <w:rsid w:val="001768D0"/>
    <w:rsid w:val="002141E7"/>
    <w:rsid w:val="0028071E"/>
    <w:rsid w:val="0028622B"/>
    <w:rsid w:val="002E3B6C"/>
    <w:rsid w:val="00315D26"/>
    <w:rsid w:val="003708D2"/>
    <w:rsid w:val="003D506C"/>
    <w:rsid w:val="00415D39"/>
    <w:rsid w:val="00454B3A"/>
    <w:rsid w:val="00474152"/>
    <w:rsid w:val="0048738E"/>
    <w:rsid w:val="00586400"/>
    <w:rsid w:val="005A5CD1"/>
    <w:rsid w:val="006A10A5"/>
    <w:rsid w:val="006B50E9"/>
    <w:rsid w:val="007052D0"/>
    <w:rsid w:val="007A3E73"/>
    <w:rsid w:val="0080441F"/>
    <w:rsid w:val="00844D4F"/>
    <w:rsid w:val="00855A8B"/>
    <w:rsid w:val="00867199"/>
    <w:rsid w:val="00896DBB"/>
    <w:rsid w:val="008A4CAB"/>
    <w:rsid w:val="008C6D7B"/>
    <w:rsid w:val="008F4A5B"/>
    <w:rsid w:val="009A14E7"/>
    <w:rsid w:val="00AA3537"/>
    <w:rsid w:val="00AA37F9"/>
    <w:rsid w:val="00B930D8"/>
    <w:rsid w:val="00C96328"/>
    <w:rsid w:val="00D040B3"/>
    <w:rsid w:val="00D2277A"/>
    <w:rsid w:val="00DF177C"/>
    <w:rsid w:val="00E1688C"/>
    <w:rsid w:val="00F1583E"/>
    <w:rsid w:val="00F21310"/>
    <w:rsid w:val="00F715F8"/>
    <w:rsid w:val="00F73AE7"/>
    <w:rsid w:val="00F83E8D"/>
    <w:rsid w:val="00FB16FE"/>
    <w:rsid w:val="00FB1937"/>
    <w:rsid w:val="00FE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="Courier New" w:eastAsia="Arial Unicode MS" w:hAnsi="Courier New" w:cs="Times New Roman"/>
      <w:b/>
      <w:kern w:val="1"/>
      <w:sz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sz w:val="22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sz w:val="22"/>
    </w:rPr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Основной текст с отступом Знак"/>
    <w:uiPriority w:val="99"/>
    <w:rPr>
      <w:rFonts w:ascii="Arial" w:eastAsia="Arial Unicode MS" w:hAnsi="Arial"/>
      <w:kern w:val="1"/>
      <w:sz w:val="24"/>
    </w:rPr>
  </w:style>
  <w:style w:type="character" w:customStyle="1" w:styleId="a4">
    <w:name w:val="Текст выноски Знак"/>
    <w:uiPriority w:val="99"/>
    <w:rPr>
      <w:rFonts w:ascii="Tahoma" w:eastAsia="Arial Unicode MS" w:hAnsi="Tahoma"/>
      <w:kern w:val="1"/>
      <w:sz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eastAsia="Times New Roman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Body Text Indent"/>
    <w:basedOn w:val="a"/>
    <w:link w:val="11"/>
    <w:uiPriority w:val="9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c">
    <w:name w:val="Balloon Text"/>
    <w:basedOn w:val="a"/>
    <w:link w:val="12"/>
    <w:uiPriority w:val="9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Pr>
      <w:rFonts w:ascii="Tahoma" w:eastAsia="Arial Unicode MS" w:hAnsi="Tahoma" w:cs="Tahoma"/>
      <w:kern w:val="1"/>
      <w:sz w:val="16"/>
      <w:szCs w:val="16"/>
      <w:lang w:val="x-none"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</w:pPr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pPr>
      <w:widowControl/>
      <w:suppressAutoHyphens w:val="0"/>
      <w:ind w:left="720"/>
      <w:contextualSpacing/>
      <w:jc w:val="right"/>
    </w:pPr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ConsPlusTitle">
    <w:name w:val="ConsPlusTitle"/>
    <w:rsid w:val="00315D2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Courier New" w:hAnsi="Courier New" w:cs="Courier New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Pr>
      <w:rFonts w:ascii="Courier New" w:eastAsia="Arial Unicode MS" w:hAnsi="Courier New" w:cs="Times New Roman"/>
      <w:b/>
      <w:kern w:val="1"/>
      <w:sz w:val="24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  <w:rPr>
      <w:sz w:val="22"/>
    </w:rPr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sz w:val="22"/>
    </w:rPr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a3">
    <w:name w:val="Основной текст с отступом Знак"/>
    <w:uiPriority w:val="99"/>
    <w:rPr>
      <w:rFonts w:ascii="Arial" w:eastAsia="Arial Unicode MS" w:hAnsi="Arial"/>
      <w:kern w:val="1"/>
      <w:sz w:val="24"/>
    </w:rPr>
  </w:style>
  <w:style w:type="character" w:customStyle="1" w:styleId="a4">
    <w:name w:val="Текст выноски Знак"/>
    <w:uiPriority w:val="99"/>
    <w:rPr>
      <w:rFonts w:ascii="Tahoma" w:eastAsia="Arial Unicode MS" w:hAnsi="Tahoma"/>
      <w:kern w:val="1"/>
      <w:sz w:val="16"/>
    </w:rPr>
  </w:style>
  <w:style w:type="character" w:styleId="a5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eastAsia="Times New Roman" w:cs="Mangal"/>
      <w:sz w:val="28"/>
      <w:szCs w:val="28"/>
    </w:rPr>
  </w:style>
  <w:style w:type="paragraph" w:styleId="a7">
    <w:name w:val="Body Text"/>
    <w:basedOn w:val="a"/>
    <w:link w:val="a8"/>
    <w:uiPriority w:val="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9">
    <w:name w:val="List"/>
    <w:basedOn w:val="a7"/>
    <w:uiPriority w:val="99"/>
    <w:rPr>
      <w:rFonts w:cs="Mangal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uiPriority w:val="99"/>
    <w:pPr>
      <w:suppressLineNumbers/>
    </w:pPr>
    <w:rPr>
      <w:rFonts w:cs="Mangal"/>
    </w:rPr>
  </w:style>
  <w:style w:type="paragraph" w:styleId="ab">
    <w:name w:val="Body Text Indent"/>
    <w:basedOn w:val="a"/>
    <w:link w:val="11"/>
    <w:uiPriority w:val="99"/>
    <w:pPr>
      <w:spacing w:after="120"/>
      <w:ind w:left="283"/>
    </w:pPr>
  </w:style>
  <w:style w:type="character" w:customStyle="1" w:styleId="11">
    <w:name w:val="Основной текст с отступом Знак1"/>
    <w:basedOn w:val="a0"/>
    <w:link w:val="ab"/>
    <w:uiPriority w:val="99"/>
    <w:semiHidden/>
    <w:locked/>
    <w:rPr>
      <w:rFonts w:ascii="Arial" w:eastAsia="Arial Unicode MS" w:hAnsi="Arial" w:cs="Arial"/>
      <w:kern w:val="1"/>
      <w:sz w:val="24"/>
      <w:szCs w:val="24"/>
      <w:lang w:val="x-none" w:eastAsia="zh-CN"/>
    </w:rPr>
  </w:style>
  <w:style w:type="paragraph" w:styleId="ac">
    <w:name w:val="Balloon Text"/>
    <w:basedOn w:val="a"/>
    <w:link w:val="12"/>
    <w:uiPriority w:val="99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locked/>
    <w:rPr>
      <w:rFonts w:ascii="Tahoma" w:eastAsia="Arial Unicode MS" w:hAnsi="Tahoma" w:cs="Tahoma"/>
      <w:kern w:val="1"/>
      <w:sz w:val="16"/>
      <w:szCs w:val="16"/>
      <w:lang w:val="x-none" w:eastAsia="zh-CN"/>
    </w:rPr>
  </w:style>
  <w:style w:type="paragraph" w:customStyle="1" w:styleId="ConsPlusNormal">
    <w:name w:val="ConsPlusNormal"/>
    <w:uiPriority w:val="99"/>
    <w:pPr>
      <w:suppressAutoHyphens/>
      <w:autoSpaceDE w:val="0"/>
      <w:spacing w:after="0" w:line="240" w:lineRule="auto"/>
    </w:pPr>
    <w:rPr>
      <w:sz w:val="28"/>
      <w:szCs w:val="28"/>
      <w:lang w:eastAsia="zh-CN"/>
    </w:rPr>
  </w:style>
  <w:style w:type="paragraph" w:styleId="ad">
    <w:name w:val="List Paragraph"/>
    <w:basedOn w:val="a"/>
    <w:uiPriority w:val="99"/>
    <w:qFormat/>
    <w:pPr>
      <w:widowControl/>
      <w:suppressAutoHyphens w:val="0"/>
      <w:ind w:left="720"/>
      <w:contextualSpacing/>
      <w:jc w:val="right"/>
    </w:pPr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pPr>
      <w:widowControl/>
      <w:spacing w:before="280" w:after="280"/>
    </w:pPr>
    <w:rPr>
      <w:rFonts w:ascii="Times New Roman" w:eastAsia="Times New Roman" w:hAnsi="Times New Roman" w:cs="Times New Roman"/>
      <w:sz w:val="24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">
    <w:name w:val="Содержимое таблицы"/>
    <w:basedOn w:val="a"/>
    <w:uiPriority w:val="99"/>
    <w:pPr>
      <w:suppressLineNumbers/>
    </w:pPr>
  </w:style>
  <w:style w:type="paragraph" w:customStyle="1" w:styleId="af0">
    <w:name w:val="Заголовок таблицы"/>
    <w:basedOn w:val="af"/>
    <w:uiPriority w:val="99"/>
    <w:pPr>
      <w:jc w:val="center"/>
    </w:pPr>
    <w:rPr>
      <w:b/>
      <w:bCs/>
    </w:rPr>
  </w:style>
  <w:style w:type="paragraph" w:customStyle="1" w:styleId="ConsPlusTitle">
    <w:name w:val="ConsPlusTitle"/>
    <w:rsid w:val="00315D26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E25E8F43AB27EB5547EED093EFA486F3BC59C534B9C80D0316C908C9A618DFLFR3E" TargetMode="External"/><Relationship Id="rId13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E25E8F43AB27EB5547F0DD8583F88EF4B404CD34BCC7585B4992559EAF1288B4AF9D5F91L8RDE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9F8AC052DCB358E1CDDFA257C1143CD3F5FD3D33556EF40FFCC48691A0557545D002E88A7EC20220BA997196AB28BF5B73E80EA7B31E3F69C4FC42DM0D4K" TargetMode="External"/><Relationship Id="rId11" Type="http://schemas.openxmlformats.org/officeDocument/2006/relationships/hyperlink" Target="consultantplus://offline/ref=09F8AC052DCB358E1CDDFA257C1143CD3F5FD3D33556EF40FFCC48691A0557545D002E88A7EC20220BA997196AB28BF5B73E80EA7B31E3F69C4FC42DM0D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F8AC052DCB358E1CDDFA257C1143CD3F5FD3D33556EF40FFCC48691A0557545D002E88A7EC20220BA997196AB28BF5B73E80EA7B31E3F69C4FC42DM0D4K" TargetMode="External"/><Relationship Id="rId10" Type="http://schemas.openxmlformats.org/officeDocument/2006/relationships/hyperlink" Target="consultantplus://offline/ref=09F8AC052DCB358E1CDDFA257C1143CD3F5FD3D33556EF40FFCC48691A0557545D002E88A7EC20220BA997196AB28BF5B73E80EA7B31E3F69C4FC42DM0D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F8AC052DCB358E1CDDFA257C1143CD3F5FD3D33556EF40FFCC48691A0557545D002E88A7EC20220BA997196AB28BF5B73E80EA7B31E3F69C4FC42DM0D4K" TargetMode="External"/><Relationship Id="rId14" Type="http://schemas.openxmlformats.org/officeDocument/2006/relationships/hyperlink" Target="consultantplus://offline/ref=DD1CB7CD8EC7134A39E0BB30CE5408054914C53F43995CED59E495711B964C7CC9DEFC189A2214245DAEDAA38186766345F627F2EEAC67CA81C79037F5F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24046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OEM</dc:creator>
  <cp:lastModifiedBy>user</cp:lastModifiedBy>
  <cp:revision>7</cp:revision>
  <cp:lastPrinted>2021-09-22T05:22:00Z</cp:lastPrinted>
  <dcterms:created xsi:type="dcterms:W3CDTF">2021-09-16T04:32:00Z</dcterms:created>
  <dcterms:modified xsi:type="dcterms:W3CDTF">2021-09-22T06:10:00Z</dcterms:modified>
</cp:coreProperties>
</file>