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51" w:rsidRDefault="0065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both"/>
        <w:rPr>
          <w:rFonts w:ascii="Segoe UI" w:hAnsi="Segoe UI" w:cs="Segoe UI"/>
          <w:b/>
          <w:noProof/>
          <w:sz w:val="32"/>
          <w:szCs w:val="32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2A3151" w:rsidRDefault="0065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hAnsi="Segoe UI" w:cs="Segoe UI"/>
          <w:b/>
          <w:noProof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  <w:lang w:eastAsia="sk-SK"/>
        </w:rPr>
        <w:t xml:space="preserve">8 августа 2019 </w:t>
      </w:r>
    </w:p>
    <w:p w:rsidR="002A3151" w:rsidRDefault="002A3151">
      <w:pPr>
        <w:jc w:val="both"/>
        <w:rPr>
          <w:rFonts w:ascii="Segoe UI" w:hAnsi="Segoe UI" w:cs="Segoe UI"/>
          <w:sz w:val="32"/>
          <w:szCs w:val="32"/>
          <w:lang w:eastAsia="sk-SK"/>
        </w:rPr>
      </w:pPr>
    </w:p>
    <w:p w:rsidR="002A3151" w:rsidRDefault="00652D24">
      <w:pPr>
        <w:rPr>
          <w:rFonts w:ascii="Segoe UI" w:hAnsi="Segoe UI" w:cs="Segoe UI"/>
          <w:sz w:val="32"/>
          <w:szCs w:val="32"/>
          <w:lang w:eastAsia="sk-SK"/>
        </w:rPr>
      </w:pPr>
      <w:r>
        <w:rPr>
          <w:rFonts w:ascii="Segoe UI" w:hAnsi="Segoe UI" w:cs="Segoe UI"/>
          <w:sz w:val="32"/>
          <w:szCs w:val="32"/>
          <w:lang w:eastAsia="sk-SK"/>
        </w:rPr>
        <w:t>Сделки с недвижимостью в электронном виде получили дополнительную защиту</w:t>
      </w:r>
    </w:p>
    <w:p w:rsidR="002A3151" w:rsidRDefault="00652D24">
      <w:pPr>
        <w:spacing w:before="240" w:after="2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Президент России Владимир Путин подписал закон, который предоставляет гражданам право внести в Единый государственный реестр недвижимости (ЕГРН) </w:t>
      </w:r>
      <w:r>
        <w:rPr>
          <w:rFonts w:ascii="Segoe UI" w:hAnsi="Segoe UI" w:cs="Segoe UI"/>
          <w:sz w:val="24"/>
          <w:szCs w:val="24"/>
        </w:rPr>
        <w:t>отметку о возможности представления в Росреестр заявления о переходе или прекращении права на принадлежащую им недвижимость, подписанного электронной подписью*. Закон принят с целью обеспечения защиты прав граждан в результате совместной работы депутатов Г</w:t>
      </w:r>
      <w:r>
        <w:rPr>
          <w:rFonts w:ascii="Segoe UI" w:hAnsi="Segoe UI" w:cs="Segoe UI"/>
          <w:sz w:val="24"/>
          <w:szCs w:val="24"/>
        </w:rPr>
        <w:t>осударственной Думы и Правительства Российской Федерации. Росреестр принимал участие в работе над поправками к проекту закона.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гражданин допускает проведение сделок с его недвижимостью в электронной форме с использованием усиленной квалифицированной э</w:t>
      </w:r>
      <w:r>
        <w:rPr>
          <w:rFonts w:ascii="Segoe UI" w:hAnsi="Segoe UI" w:cs="Segoe UI"/>
          <w:sz w:val="24"/>
          <w:szCs w:val="24"/>
        </w:rPr>
        <w:t>лектронной подписи, то он об этом отдельно должен подать заявление в Росреестр в бумажной форме. При отсутствии такого заявления от собственника государственная регистрация перехода прав на основании электронного пакета документов будет невозможна.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частн</w:t>
      </w:r>
      <w:r>
        <w:rPr>
          <w:rFonts w:ascii="Segoe UI" w:hAnsi="Segoe UI" w:cs="Segoe UI"/>
          <w:sz w:val="24"/>
          <w:szCs w:val="24"/>
        </w:rPr>
        <w:t xml:space="preserve">ости, закон защищает граждан от мошеннических действий с их недвижимостью, совершаемых при помощи электронной подписи. Он направлен на исключение случаев, когда мошенники завладевают чужими квартирами путем подачи документов на государственную регистрацию </w:t>
      </w:r>
      <w:r>
        <w:rPr>
          <w:rFonts w:ascii="Segoe UI" w:hAnsi="Segoe UI" w:cs="Segoe UI"/>
          <w:sz w:val="24"/>
          <w:szCs w:val="24"/>
        </w:rPr>
        <w:t>прав с незаконным использованием электронной подписи собственника, полученной в удостоверяющем центре в том числе по поддельным документам.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закон предусматривает ряд случаев, когда для проведения сделок с недвижимостью в электронном виде не будет </w:t>
      </w:r>
      <w:r>
        <w:rPr>
          <w:rFonts w:ascii="Segoe UI" w:hAnsi="Segoe UI" w:cs="Segoe UI"/>
          <w:sz w:val="24"/>
          <w:szCs w:val="24"/>
        </w:rPr>
        <w:t xml:space="preserve">требоваться специальная отметка в ЕГРН, сделанная на основании заявления собственника недвижимости. 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«При принятии закона основная сложность была в поиске баланса между степенью защиты прав граждан на их имущество и задачей не сдерживать цифровизацию на ры</w:t>
      </w:r>
      <w:r>
        <w:rPr>
          <w:rFonts w:ascii="Segoe UI" w:hAnsi="Segoe UI" w:cs="Segoe UI"/>
          <w:sz w:val="24"/>
          <w:szCs w:val="24"/>
        </w:rPr>
        <w:t>нке недвижимости. Решить эти задачи позволило сбалансированное решение. Так, согласно закону внесение отметки в реестр недвижимости не потребуется, если электронная подпись выдана Федеральной кадастровой палатой Росреестра, при проведении сделок с участием</w:t>
      </w:r>
      <w:r>
        <w:rPr>
          <w:rFonts w:ascii="Segoe UI" w:hAnsi="Segoe UI" w:cs="Segoe UI"/>
          <w:sz w:val="24"/>
          <w:szCs w:val="24"/>
        </w:rPr>
        <w:t xml:space="preserve"> нотариусов и органов власти, которые взаимодействуют с Росреестром в электронном виде. Закон также сохраняет все возможности подачи электронных пакетов от кредитных организаций без внесения в реестр недвижимости специальной отметки на основании заявления </w:t>
      </w:r>
      <w:r>
        <w:rPr>
          <w:rFonts w:ascii="Segoe UI" w:hAnsi="Segoe UI" w:cs="Segoe UI"/>
          <w:sz w:val="24"/>
          <w:szCs w:val="24"/>
        </w:rPr>
        <w:t xml:space="preserve">собственника. Таким образом, его действие не будет распространяться на популярные цифровые проекты, такие как электронная </w:t>
      </w:r>
      <w:r>
        <w:rPr>
          <w:rFonts w:ascii="Segoe UI" w:hAnsi="Segoe UI" w:cs="Segoe UI"/>
          <w:sz w:val="24"/>
          <w:szCs w:val="24"/>
        </w:rPr>
        <w:lastRenderedPageBreak/>
        <w:t xml:space="preserve">ипотека», – </w:t>
      </w:r>
      <w:r>
        <w:rPr>
          <w:rFonts w:ascii="Segoe UI" w:hAnsi="Segoe UI" w:cs="Segoe UI"/>
          <w:b/>
          <w:sz w:val="24"/>
          <w:szCs w:val="24"/>
        </w:rPr>
        <w:t>говорит заместитель Министра экономического развития Российской Федерации – руководитель Росреестра Виктория Абрамченко.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</w:t>
      </w:r>
      <w:r>
        <w:rPr>
          <w:rFonts w:ascii="Segoe UI" w:hAnsi="Segoe UI" w:cs="Segoe UI"/>
          <w:b/>
          <w:sz w:val="24"/>
          <w:szCs w:val="24"/>
        </w:rPr>
        <w:t>правочно</w:t>
      </w: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Возможность подать заявление о запрете проведения сделок без личного участия собственника недвижимости предусмотрена законодательством начиная с 2013 года. С этого момента отмечается рост таких заявлений, поданных собственниками недвижимости в Рос</w:t>
      </w:r>
      <w:r>
        <w:rPr>
          <w:rFonts w:ascii="Segoe UI" w:hAnsi="Segoe UI" w:cs="Segoe UI"/>
          <w:sz w:val="24"/>
          <w:szCs w:val="24"/>
        </w:rPr>
        <w:t>реестр. Так, их количество, полученное Росреестром в 2018 году, выросло по сравнению с 2014 годом, почти в 9 раз. Всего за период с 1 января 2014 года по 30 марта 2019 года ведомство получило порядка 550 тыс. заявлений собственников о невозможности проведе</w:t>
      </w:r>
      <w:r>
        <w:rPr>
          <w:rFonts w:ascii="Segoe UI" w:hAnsi="Segoe UI" w:cs="Segoe UI"/>
          <w:sz w:val="24"/>
          <w:szCs w:val="24"/>
        </w:rPr>
        <w:t>ния сделок без их личного участия.</w:t>
      </w:r>
    </w:p>
    <w:p w:rsidR="002A3151" w:rsidRDefault="002A3151">
      <w:pPr>
        <w:spacing w:before="120" w:after="120" w:line="270" w:lineRule="atLeast"/>
        <w:jc w:val="both"/>
        <w:rPr>
          <w:rFonts w:ascii="Segoe UI" w:hAnsi="Segoe UI" w:cs="Segoe UI"/>
          <w:i/>
          <w:sz w:val="24"/>
          <w:szCs w:val="24"/>
        </w:rPr>
      </w:pPr>
    </w:p>
    <w:p w:rsidR="002A3151" w:rsidRDefault="00652D24">
      <w:pPr>
        <w:spacing w:before="120" w:after="120" w:line="27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* Законопроект № 728232-7 «О внесении изменений в Федеральный закон «О государственной регистрации недвижимости» (в части отметки о возможности предоставления заявления на государственную регистрацию права, заверенного электронной подписью гражданина). </w:t>
      </w:r>
    </w:p>
    <w:p w:rsidR="002A3151" w:rsidRDefault="00652D24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940425" cy="19040"/>
                <wp:effectExtent l="0" t="0" r="22225" b="19685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19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Прямоугольник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" filled="f" strokecolor="#0070c0">
                <o:lock v:ext="edit" aspectratio="t"/>
                <w10:anchorlock/>
              </v:rect>
            </w:pict>
          </mc:Fallback>
        </mc:AlternateContent>
      </w:r>
    </w:p>
    <w:p w:rsidR="002A3151" w:rsidRDefault="002A3151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</w:p>
    <w:p w:rsidR="002A3151" w:rsidRDefault="002A3151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2A3151" w:rsidRDefault="00652D24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О Росреестре</w:t>
      </w:r>
    </w:p>
    <w:p w:rsidR="002A3151" w:rsidRDefault="00652D2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</w:t>
      </w:r>
      <w:r>
        <w:rPr>
          <w:rFonts w:ascii="Segoe UI" w:hAnsi="Segoe UI" w:cs="Segoe UI"/>
          <w:color w:val="000000"/>
          <w:sz w:val="20"/>
          <w:szCs w:val="20"/>
        </w:rPr>
        <w:t>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Росреестр выполняет функции по орг</w:t>
      </w:r>
      <w:r>
        <w:rPr>
          <w:rFonts w:ascii="Segoe UI" w:hAnsi="Segoe UI" w:cs="Segoe UI"/>
          <w:color w:val="000000"/>
          <w:sz w:val="20"/>
          <w:szCs w:val="20"/>
        </w:rPr>
        <w:t>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</w:t>
      </w:r>
      <w:r>
        <w:rPr>
          <w:rFonts w:ascii="Segoe UI" w:hAnsi="Segoe UI" w:cs="Segoe UI"/>
          <w:color w:val="000000"/>
          <w:sz w:val="20"/>
          <w:szCs w:val="20"/>
        </w:rPr>
        <w:t>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 w:rsidR="002A3151" w:rsidRDefault="00652D2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Подведомственными учреждениями Росреестра являются ФГБУ «ФКП </w:t>
      </w:r>
      <w:r>
        <w:rPr>
          <w:rFonts w:ascii="Segoe UI" w:hAnsi="Segoe UI" w:cs="Segoe UI"/>
          <w:color w:val="000000"/>
          <w:sz w:val="20"/>
          <w:szCs w:val="20"/>
        </w:rPr>
        <w:t>Росреестра» и ФГБУ «Центр геодезии, картографии и ИПД».</w:t>
      </w:r>
    </w:p>
    <w:p w:rsidR="002A3151" w:rsidRDefault="002A31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2A3151"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24" w:rsidRDefault="00652D24">
      <w:r>
        <w:separator/>
      </w:r>
    </w:p>
  </w:endnote>
  <w:endnote w:type="continuationSeparator" w:id="0">
    <w:p w:rsidR="00652D24" w:rsidRDefault="0065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24" w:rsidRDefault="00652D24">
      <w:r>
        <w:separator/>
      </w:r>
    </w:p>
  </w:footnote>
  <w:footnote w:type="continuationSeparator" w:id="0">
    <w:p w:rsidR="00652D24" w:rsidRDefault="0065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8A4"/>
    <w:multiLevelType w:val="hybridMultilevel"/>
    <w:tmpl w:val="5C488A42"/>
    <w:lvl w:ilvl="0" w:tplc="935A71A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3EB9"/>
    <w:multiLevelType w:val="hybridMultilevel"/>
    <w:tmpl w:val="E07EE4F2"/>
    <w:lvl w:ilvl="0" w:tplc="7BD65DC6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51"/>
    <w:rsid w:val="002A3151"/>
    <w:rsid w:val="00652D24"/>
    <w:rsid w:val="00E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next w:val="a4"/>
    <w:link w:val="a5"/>
    <w:uiPriority w:val="99"/>
    <w:unhideWhenUsed/>
    <w:pPr>
      <w:widowControl w:val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сноски Знак"/>
    <w:basedOn w:val="a0"/>
    <w:link w:val="a3"/>
    <w:uiPriority w:val="99"/>
    <w:rPr>
      <w:rFonts w:eastAsia="Times New Roman" w:cs="Times New Roman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pPr>
      <w:widowControl w:val="0"/>
      <w:jc w:val="left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4">
    <w:name w:val="annotation subject"/>
    <w:basedOn w:val="a8"/>
    <w:next w:val="a8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9"/>
    <w:link w:val="a4"/>
    <w:uiPriority w:val="99"/>
    <w:semiHidden/>
    <w:rPr>
      <w:b/>
      <w:bCs/>
      <w:sz w:val="20"/>
      <w:szCs w:val="20"/>
    </w:rPr>
  </w:style>
  <w:style w:type="paragraph" w:styleId="ab">
    <w:name w:val="Normal (Web)"/>
    <w:basedOn w:val="a"/>
    <w:unhideWhenUsed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Plain Text"/>
    <w:basedOn w:val="a"/>
    <w:link w:val="af8"/>
    <w:uiPriority w:val="99"/>
    <w:semiHidden/>
    <w:unhideWhenUsed/>
    <w:pPr>
      <w:jc w:val="left"/>
    </w:pPr>
    <w:rPr>
      <w:rFonts w:ascii="Calibri" w:hAnsi="Calibri"/>
      <w:sz w:val="22"/>
      <w:szCs w:val="21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alibri" w:hAnsi="Calibri"/>
      <w:sz w:val="22"/>
      <w:szCs w:val="21"/>
    </w:rPr>
  </w:style>
  <w:style w:type="character" w:styleId="af9">
    <w:name w:val="Hyperlink"/>
    <w:basedOn w:val="a0"/>
    <w:uiPriority w:val="99"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next w:val="a4"/>
    <w:link w:val="a5"/>
    <w:uiPriority w:val="99"/>
    <w:unhideWhenUsed/>
    <w:pPr>
      <w:widowControl w:val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сноски Знак"/>
    <w:basedOn w:val="a0"/>
    <w:link w:val="a3"/>
    <w:uiPriority w:val="99"/>
    <w:rPr>
      <w:rFonts w:eastAsia="Times New Roman" w:cs="Times New Roman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pPr>
      <w:widowControl w:val="0"/>
      <w:jc w:val="left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4">
    <w:name w:val="annotation subject"/>
    <w:basedOn w:val="a8"/>
    <w:next w:val="a8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9"/>
    <w:link w:val="a4"/>
    <w:uiPriority w:val="99"/>
    <w:semiHidden/>
    <w:rPr>
      <w:b/>
      <w:bCs/>
      <w:sz w:val="20"/>
      <w:szCs w:val="20"/>
    </w:rPr>
  </w:style>
  <w:style w:type="paragraph" w:styleId="ab">
    <w:name w:val="Normal (Web)"/>
    <w:basedOn w:val="a"/>
    <w:unhideWhenUsed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Plain Text"/>
    <w:basedOn w:val="a"/>
    <w:link w:val="af8"/>
    <w:uiPriority w:val="99"/>
    <w:semiHidden/>
    <w:unhideWhenUsed/>
    <w:pPr>
      <w:jc w:val="left"/>
    </w:pPr>
    <w:rPr>
      <w:rFonts w:ascii="Calibri" w:hAnsi="Calibri"/>
      <w:sz w:val="22"/>
      <w:szCs w:val="21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alibri" w:hAnsi="Calibri"/>
      <w:sz w:val="22"/>
      <w:szCs w:val="21"/>
    </w:rPr>
  </w:style>
  <w:style w:type="character" w:styleId="af9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8A16-05DF-46B1-87C0-2076294C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Фидарова Татьяна Александровна</dc:creator>
  <cp:lastModifiedBy>user</cp:lastModifiedBy>
  <cp:revision>2</cp:revision>
  <cp:lastPrinted>2019-07-24T07:38:00Z</cp:lastPrinted>
  <dcterms:created xsi:type="dcterms:W3CDTF">2019-08-13T11:03:00Z</dcterms:created>
  <dcterms:modified xsi:type="dcterms:W3CDTF">2019-08-13T11:03:00Z</dcterms:modified>
</cp:coreProperties>
</file>