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613" w:rsidRDefault="00B05613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05613" w:rsidRDefault="0024797D">
      <w:pPr>
        <w:spacing w:after="0" w:line="259" w:lineRule="auto"/>
        <w:jc w:val="right"/>
        <w:rPr>
          <w:rFonts w:ascii="Segoe UI" w:eastAsiaTheme="minorHAnsi" w:hAnsi="Segoe UI" w:cs="Segoe UI"/>
          <w:b/>
          <w:sz w:val="32"/>
          <w:szCs w:val="32"/>
        </w:rPr>
      </w:pPr>
      <w:r>
        <w:rPr>
          <w:rFonts w:ascii="Segoe UI" w:eastAsiaTheme="minorHAnsi" w:hAnsi="Segoe UI" w:cs="Segoe UI"/>
          <w:b/>
          <w:sz w:val="32"/>
          <w:szCs w:val="32"/>
        </w:rPr>
        <w:t>ПРЕСС-РЕЛИЗ</w:t>
      </w:r>
    </w:p>
    <w:p w:rsidR="00B05613" w:rsidRDefault="0024797D">
      <w:pPr>
        <w:spacing w:after="0"/>
        <w:jc w:val="right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Segoe UI" w:eastAsiaTheme="minorHAnsi" w:hAnsi="Segoe UI" w:cs="Segoe UI"/>
          <w:b/>
          <w:sz w:val="24"/>
          <w:szCs w:val="24"/>
        </w:rPr>
        <w:t>22 июля 2019</w:t>
      </w:r>
    </w:p>
    <w:p w:rsidR="00B05613" w:rsidRDefault="00B05613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Защита вашей недвижимости: счета </w:t>
      </w:r>
      <w:proofErr w:type="spellStart"/>
      <w:r>
        <w:rPr>
          <w:rFonts w:ascii="Segoe UI" w:hAnsi="Segoe UI" w:cs="Segoe UI"/>
          <w:b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и компенсационный фонд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 выборе площадки строительства покупатель </w:t>
      </w:r>
      <w:proofErr w:type="spellStart"/>
      <w:r>
        <w:rPr>
          <w:rFonts w:ascii="Segoe UI" w:hAnsi="Segoe UI" w:cs="Segoe UI"/>
          <w:sz w:val="24"/>
          <w:szCs w:val="24"/>
        </w:rPr>
        <w:t>долевки</w:t>
      </w:r>
      <w:proofErr w:type="spellEnd"/>
      <w:r>
        <w:rPr>
          <w:rFonts w:ascii="Segoe UI" w:hAnsi="Segoe UI" w:cs="Segoe UI"/>
          <w:sz w:val="24"/>
          <w:szCs w:val="24"/>
        </w:rPr>
        <w:t xml:space="preserve"> может сразу узнать о том, какой способ привлечения средств дольщиков использует застройщик: счета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 или компенсационный фонд. О том, как это сделать, рассказали в Управлении Росреестра по Самарской области. 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настоящее время существует два механизма защиты прав дольщиков: наряду с использованием счетов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 остаются и отчисления в компенсационный фон</w:t>
      </w:r>
      <w:r>
        <w:rPr>
          <w:rFonts w:ascii="Segoe UI" w:hAnsi="Segoe UI" w:cs="Segoe UI"/>
          <w:sz w:val="24"/>
          <w:szCs w:val="24"/>
        </w:rPr>
        <w:t>д. В связи с этим покупателям новостроек стоит обратить внимание на то, когда застройщик заключил первый договор долевого участия в строительстве, и есть ли у девелопера заключение министерства строительства Самарской области, в котором обозначены определе</w:t>
      </w:r>
      <w:r>
        <w:rPr>
          <w:rFonts w:ascii="Segoe UI" w:hAnsi="Segoe UI" w:cs="Segoe UI"/>
          <w:sz w:val="24"/>
          <w:szCs w:val="24"/>
        </w:rPr>
        <w:t xml:space="preserve">нные критерии. 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«Если договор долевого участия с первым участником долевого строительства представлен на государственную регистрацию после первого июля 2019 года, то все договора заключаются только с использованием счетов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 xml:space="preserve">, открытых в уполномоченном </w:t>
      </w:r>
      <w:r>
        <w:rPr>
          <w:rFonts w:ascii="Segoe UI" w:hAnsi="Segoe UI" w:cs="Segoe UI"/>
          <w:sz w:val="24"/>
          <w:szCs w:val="24"/>
        </w:rPr>
        <w:t xml:space="preserve">банке, - говорит начальник отдела регистрации долевого участия в строительстве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Сергей Лазарев</w:t>
      </w:r>
      <w:r>
        <w:rPr>
          <w:rFonts w:ascii="Segoe UI" w:hAnsi="Segoe UI" w:cs="Segoe UI"/>
          <w:sz w:val="24"/>
          <w:szCs w:val="24"/>
        </w:rPr>
        <w:t>. – Аналогичная ситуация касается и других договоров (не первых), которые представлены на регистрацию после первого июля</w:t>
      </w:r>
      <w:r>
        <w:rPr>
          <w:rFonts w:ascii="Segoe UI" w:hAnsi="Segoe UI" w:cs="Segoe UI"/>
          <w:sz w:val="24"/>
          <w:szCs w:val="24"/>
        </w:rPr>
        <w:t xml:space="preserve"> 2019 года в отношении домов, не введенных в эксплуатацию и не соответствующих установленным правительством Российской Федерации критериям. Напомню, что основные критерии – это готовность объекта не менее 30% и количество проданных площадей не менее 10%».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то же время если договор долевого участия представлен на регистрацию также после первого июля 2019 года и дом также не введен в эксплуатацию, однако по нему</w:t>
      </w:r>
      <w:r>
        <w:rPr>
          <w:rFonts w:ascii="Segoe UI" w:hAnsi="Segoe UI" w:cs="Segoe UI"/>
          <w:i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есть заключение регионального министерства строительства (то есть он </w:t>
      </w:r>
      <w:r>
        <w:rPr>
          <w:rFonts w:ascii="Segoe UI" w:hAnsi="Segoe UI" w:cs="Segoe UI"/>
          <w:sz w:val="24"/>
          <w:szCs w:val="24"/>
        </w:rPr>
        <w:lastRenderedPageBreak/>
        <w:t xml:space="preserve">соответствует установленным </w:t>
      </w:r>
      <w:r>
        <w:rPr>
          <w:rFonts w:ascii="Segoe UI" w:hAnsi="Segoe UI" w:cs="Segoe UI"/>
          <w:sz w:val="24"/>
          <w:szCs w:val="24"/>
        </w:rPr>
        <w:t xml:space="preserve">правительством Российской Федерации критериям), тогда защита дольщиков этого дома будет осуществляться отчислениями застройщика в компенсационный фонд. Заключение министерства строительства о готовности объекта можно посмотреть на сайте </w:t>
      </w:r>
      <w:proofErr w:type="spellStart"/>
      <w:r>
        <w:rPr>
          <w:rFonts w:ascii="Segoe UI" w:hAnsi="Segoe UI" w:cs="Segoe UI"/>
          <w:sz w:val="24"/>
          <w:szCs w:val="24"/>
        </w:rPr>
        <w:t>наш.дом.рф</w:t>
      </w:r>
      <w:proofErr w:type="spellEnd"/>
      <w:r>
        <w:rPr>
          <w:rFonts w:ascii="Segoe UI" w:hAnsi="Segoe UI" w:cs="Segoe UI"/>
          <w:sz w:val="24"/>
          <w:szCs w:val="24"/>
        </w:rPr>
        <w:t>.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Напомни</w:t>
      </w:r>
      <w:r>
        <w:rPr>
          <w:rFonts w:ascii="Segoe UI" w:hAnsi="Segoe UI" w:cs="Segoe UI"/>
          <w:sz w:val="24"/>
          <w:szCs w:val="24"/>
        </w:rPr>
        <w:t xml:space="preserve">м, что с первого июля 2019 года изменился порядок обеспечения обязательств застройщика при привлечении средств для долевого строительства. Все российские девелоперы переходят на схему долевого строительства жилья с применением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>-счетов. Средства клиен</w:t>
      </w:r>
      <w:r>
        <w:rPr>
          <w:rFonts w:ascii="Segoe UI" w:hAnsi="Segoe UI" w:cs="Segoe UI"/>
          <w:sz w:val="24"/>
          <w:szCs w:val="24"/>
        </w:rPr>
        <w:t xml:space="preserve">тов зачисляются на специальный банковский счет, и застройщики не смогут получить эти деньги до передачи квартир покупателям. «При этом порядок государственной регистрации договоров участия в долевом строительстве с применением </w:t>
      </w:r>
      <w:proofErr w:type="spellStart"/>
      <w:r>
        <w:rPr>
          <w:rFonts w:ascii="Segoe UI" w:hAnsi="Segoe UI" w:cs="Segoe UI"/>
          <w:sz w:val="24"/>
          <w:szCs w:val="24"/>
        </w:rPr>
        <w:t>эскроу</w:t>
      </w:r>
      <w:proofErr w:type="spellEnd"/>
      <w:r>
        <w:rPr>
          <w:rFonts w:ascii="Segoe UI" w:hAnsi="Segoe UI" w:cs="Segoe UI"/>
          <w:sz w:val="24"/>
          <w:szCs w:val="24"/>
        </w:rPr>
        <w:t>-счетов, перечень необх</w:t>
      </w:r>
      <w:r>
        <w:rPr>
          <w:rFonts w:ascii="Segoe UI" w:hAnsi="Segoe UI" w:cs="Segoe UI"/>
          <w:sz w:val="24"/>
          <w:szCs w:val="24"/>
        </w:rPr>
        <w:t xml:space="preserve">одимых для получения </w:t>
      </w:r>
      <w:proofErr w:type="spellStart"/>
      <w:r>
        <w:rPr>
          <w:rFonts w:ascii="Segoe UI" w:hAnsi="Segoe UI" w:cs="Segoe UI"/>
          <w:sz w:val="24"/>
          <w:szCs w:val="24"/>
        </w:rPr>
        <w:t>госуслуги</w:t>
      </w:r>
      <w:proofErr w:type="spellEnd"/>
      <w:r>
        <w:rPr>
          <w:rFonts w:ascii="Segoe UI" w:hAnsi="Segoe UI" w:cs="Segoe UI"/>
          <w:sz w:val="24"/>
          <w:szCs w:val="24"/>
        </w:rPr>
        <w:t xml:space="preserve"> документов и срок предоставления услуги остался прежним», - отмечает Сергей Лазарев.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Segoe UI" w:eastAsiaTheme="minorHAns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 </w:t>
      </w:r>
      <w:r>
        <w:rPr>
          <w:rFonts w:ascii="Times New Roman" w:eastAsiaTheme="minorHAnsi" w:hAnsi="Times New Roman"/>
          <w:sz w:val="28"/>
          <w:szCs w:val="28"/>
        </w:rPr>
        <w:tab/>
      </w:r>
      <w:r>
        <w:rPr>
          <w:rFonts w:ascii="Segoe UI" w:eastAsiaTheme="minorHAnsi" w:hAnsi="Segoe UI" w:cs="Segoe UI"/>
          <w:sz w:val="24"/>
          <w:szCs w:val="24"/>
        </w:rPr>
        <w:tab/>
        <w:t xml:space="preserve"> </w:t>
      </w:r>
    </w:p>
    <w:p w:rsidR="00B05613" w:rsidRDefault="0024797D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eastAsiaTheme="minorHAns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B05613" w:rsidRDefault="00B05613">
      <w:pPr>
        <w:spacing w:after="0" w:line="240" w:lineRule="auto"/>
        <w:jc w:val="both"/>
        <w:rPr>
          <w:rFonts w:asciiTheme="minorHAnsi" w:eastAsiaTheme="minorHAnsi" w:hAnsiTheme="minorHAnsi" w:cstheme="minorBidi"/>
          <w:sz w:val="28"/>
          <w:szCs w:val="28"/>
        </w:rPr>
      </w:pPr>
    </w:p>
    <w:p w:rsidR="00B05613" w:rsidRDefault="0024797D">
      <w:pPr>
        <w:spacing w:after="0" w:line="240" w:lineRule="auto"/>
        <w:jc w:val="both"/>
        <w:rPr>
          <w:rFonts w:ascii="Segoe UI" w:eastAsiaTheme="minorHAnsi" w:hAnsi="Segoe UI" w:cs="Segoe UI"/>
          <w:b/>
          <w:noProof/>
          <w:lang w:eastAsia="sk-SK"/>
        </w:rPr>
      </w:pPr>
      <w:r>
        <w:rPr>
          <w:rFonts w:ascii="Segoe UI" w:eastAsiaTheme="minorHAnsi" w:hAnsi="Segoe UI" w:cs="Segoe UI"/>
          <w:b/>
          <w:noProof/>
          <w:lang w:eastAsia="sk-SK"/>
        </w:rPr>
        <w:t>Контакты для СМИ:</w:t>
      </w:r>
    </w:p>
    <w:p w:rsidR="00B05613" w:rsidRDefault="0024797D">
      <w:pPr>
        <w:spacing w:after="0" w:line="240" w:lineRule="auto"/>
        <w:rPr>
          <w:rFonts w:ascii="Segoe UI" w:eastAsiaTheme="minorHAnsi" w:hAnsi="Segoe UI" w:cs="Segoe UI"/>
        </w:rPr>
      </w:pPr>
      <w:r>
        <w:rPr>
          <w:rFonts w:ascii="Segoe UI" w:eastAsiaTheme="minorHAnsi" w:hAnsi="Segoe UI" w:cs="Segoe UI"/>
        </w:rPr>
        <w:t>Ольга Никитина, помощник руководителя Управления Росреестра</w:t>
      </w:r>
    </w:p>
    <w:p w:rsidR="00B05613" w:rsidRDefault="0024797D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eastAsiaTheme="minorHAnsi" w:hAnsi="Segoe UI" w:cs="Segoe UI"/>
        </w:rPr>
        <w:t xml:space="preserve">(846) 33-22-555, 8 927 690 73 51, </w:t>
      </w:r>
      <w:hyperlink r:id="rId6" w:history="1"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eastAsiaTheme="minorHAns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B05613" w:rsidRDefault="00B05613"/>
    <w:sectPr w:rsidR="00B05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613"/>
    <w:rsid w:val="0024797D"/>
    <w:rsid w:val="00B0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2019-07-19T12:12:00Z</cp:lastPrinted>
  <dcterms:created xsi:type="dcterms:W3CDTF">2019-07-25T05:48:00Z</dcterms:created>
  <dcterms:modified xsi:type="dcterms:W3CDTF">2019-07-25T05:48:00Z</dcterms:modified>
</cp:coreProperties>
</file>